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150"/>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18"/>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both"/>
              <w:rPr>
                <w:rFonts w:ascii="Times New Roman" w:hAnsi="Times New Roman"/>
                <w:color w:val="auto"/>
                <w:sz w:val="24"/>
              </w:rPr>
            </w:pPr>
            <w:r>
              <w:rPr>
                <w:rFonts w:hint="eastAsia" w:ascii="Times New Roman" w:hAnsi="Times New Roman"/>
                <w:color w:val="auto"/>
                <w:sz w:val="24"/>
              </w:rPr>
              <w:t>江苏芬奇工业设备制造有限公司铸造生产线技术改造项目安全预评价报告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2021.4.26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color w:val="auto"/>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color w:val="auto"/>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color w:val="auto"/>
                <w:sz w:val="24"/>
              </w:rPr>
            </w:pPr>
            <w:r>
              <w:rPr>
                <w:color w:val="auto"/>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岳强</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eastAsia="zh-CN"/>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color w:val="auto"/>
                <w:sz w:val="24"/>
              </w:rPr>
            </w:pPr>
            <w:r>
              <w:rPr>
                <w:color w:val="auto"/>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高昊</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S011037000110193001374</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037499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sz w:val="24"/>
                <w:lang w:val="en-US" w:eastAsia="zh-CN"/>
              </w:rPr>
              <w:t>吴强</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1100000000200989</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default" w:ascii="Times New Roman" w:hAnsi="Times New Roman" w:eastAsia="宋体"/>
                <w:color w:val="auto"/>
                <w:kern w:val="0"/>
                <w:sz w:val="24"/>
                <w:shd w:val="clear" w:color="auto" w:fill="FFFFFF"/>
                <w:lang w:val="en-US" w:eastAsia="zh-CN"/>
              </w:rPr>
            </w:pPr>
            <w:r>
              <w:rPr>
                <w:rFonts w:hint="eastAsia" w:ascii="Times New Roman" w:hAnsi="Times New Roman"/>
                <w:color w:val="auto"/>
                <w:kern w:val="0"/>
                <w:sz w:val="24"/>
                <w:shd w:val="clear" w:color="auto" w:fill="FFFFFF"/>
                <w:lang w:val="en-US" w:eastAsia="zh-CN"/>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color w:val="auto"/>
                <w:sz w:val="24"/>
                <w:lang w:val="en-US" w:eastAsia="zh-CN"/>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项目简介</w:t>
            </w:r>
          </w:p>
        </w:tc>
        <w:tc>
          <w:tcPr>
            <w:tcW w:w="7480" w:type="dxa"/>
            <w:gridSpan w:val="3"/>
            <w:tcBorders>
              <w:tl2br w:val="nil"/>
              <w:tr2bl w:val="nil"/>
            </w:tcBorders>
            <w:shd w:val="clear" w:color="auto" w:fill="FFFFFF"/>
            <w:vAlign w:val="center"/>
          </w:tcPr>
          <w:p>
            <w:pPr>
              <w:snapToGrid w:val="0"/>
              <w:spacing w:line="240" w:lineRule="auto"/>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 xml:space="preserve">江苏芬奇工业设备制造有限公司共投资3000万元在泰兴市虹桥工业园区六圩港路南侧进行改建，利用现有厂房，购置砂处理设备、离心铸造设备、制壳机、试验仪、浇铸设备、抛丸机等设备，替换原有中频炉，新购KGCX串联谐振中频熔化炉1.0T一套（一用一备）、0.5T一套（一用一备）。项目建成后，不新增铸造产能，形成年产高温高压离心泵10000台、耐磨耐热铸件8000吨的生产能力。本项目已于2020年06月01日取得泰兴市行政审批局下发的江苏省投资项目备案证，备案证号：泰行审备〔2020〕222号。 </w:t>
            </w:r>
          </w:p>
          <w:p>
            <w:pPr>
              <w:snapToGrid w:val="0"/>
              <w:spacing w:line="240" w:lineRule="auto"/>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江苏芬奇工业设备制造有限公司铸造生产线技术改造项目</w:t>
            </w:r>
            <w:bookmarkStart w:id="0" w:name="_Hlk68602287"/>
            <w:r>
              <w:rPr>
                <w:rFonts w:hint="eastAsia" w:ascii="Times New Roman" w:hAnsi="Times New Roman" w:eastAsia="宋体" w:cs="Times New Roman"/>
                <w:color w:val="auto"/>
                <w:kern w:val="0"/>
                <w:sz w:val="24"/>
                <w:szCs w:val="24"/>
                <w:shd w:val="clear" w:color="auto" w:fill="FFFFFF"/>
                <w:lang w:val="en-US" w:eastAsia="zh-CN" w:bidi="ar-SA"/>
              </w:rPr>
              <w:t>存在一定的危险、有害因素，其潜在的危险、有害因素在采取安全对策措施后可以得到控制，建设项目建成后可以实现安全运行，从安全生产角度来看符合国家有关法律、法规、技术标准的要求。</w:t>
            </w:r>
            <w:bookmarkEnd w:id="0"/>
          </w:p>
          <w:p>
            <w:pPr>
              <w:snapToGrid w:val="0"/>
              <w:spacing w:line="240" w:lineRule="auto"/>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color w:val="auto"/>
                <w:kern w:val="0"/>
                <w:sz w:val="24"/>
                <w:shd w:val="clear" w:color="auto" w:fill="FFFFFF"/>
                <w:lang w:eastAsia="zh-CN"/>
              </w:rPr>
              <w:t>现场照片</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bookmarkStart w:id="1" w:name="_GoBack"/>
            <w:r>
              <w:rPr>
                <w:rFonts w:hint="default" w:ascii="Times New Roman" w:hAnsi="Times New Roman" w:cs="Times New Roman"/>
                <w:sz w:val="28"/>
                <w:szCs w:val="28"/>
                <w:lang w:val="en-US" w:eastAsia="zh-CN"/>
              </w:rPr>
              <w:drawing>
                <wp:inline distT="0" distB="0" distL="114300" distR="114300">
                  <wp:extent cx="2314575" cy="3086735"/>
                  <wp:effectExtent l="0" t="0" r="9525" b="18415"/>
                  <wp:docPr id="39" name="图片 39" descr="IMG_20210524_09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10524_094548"/>
                          <pic:cNvPicPr>
                            <a:picLocks noChangeAspect="1"/>
                          </pic:cNvPicPr>
                        </pic:nvPicPr>
                        <pic:blipFill>
                          <a:blip r:embed="rId4"/>
                          <a:stretch>
                            <a:fillRect/>
                          </a:stretch>
                        </pic:blipFill>
                        <pic:spPr>
                          <a:xfrm>
                            <a:off x="0" y="0"/>
                            <a:ext cx="2314575" cy="3086735"/>
                          </a:xfrm>
                          <a:prstGeom prst="rect">
                            <a:avLst/>
                          </a:prstGeom>
                        </pic:spPr>
                      </pic:pic>
                    </a:graphicData>
                  </a:graphic>
                </wp:inline>
              </w:drawing>
            </w:r>
            <w:bookmarkEnd w:id="1"/>
            <w:r>
              <w:rPr>
                <w:rFonts w:hint="default"/>
                <w:lang w:val="en-US" w:eastAsia="zh-CN"/>
              </w:rPr>
              <w:drawing>
                <wp:inline distT="0" distB="0" distL="114300" distR="114300">
                  <wp:extent cx="2185035" cy="2914015"/>
                  <wp:effectExtent l="0" t="0" r="5715" b="635"/>
                  <wp:docPr id="45" name="图片 45" descr="IMG_20210524_09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10524_095022"/>
                          <pic:cNvPicPr>
                            <a:picLocks noChangeAspect="1"/>
                          </pic:cNvPicPr>
                        </pic:nvPicPr>
                        <pic:blipFill>
                          <a:blip r:embed="rId5"/>
                          <a:stretch>
                            <a:fillRect/>
                          </a:stretch>
                        </pic:blipFill>
                        <pic:spPr>
                          <a:xfrm>
                            <a:off x="0" y="0"/>
                            <a:ext cx="2185035" cy="2914015"/>
                          </a:xfrm>
                          <a:prstGeom prst="rect">
                            <a:avLst/>
                          </a:prstGeom>
                        </pic:spPr>
                      </pic:pic>
                    </a:graphicData>
                  </a:graphic>
                </wp:inline>
              </w:drawing>
            </w:r>
            <w:r>
              <w:rPr>
                <w:rFonts w:hint="default"/>
                <w:lang w:val="en-US" w:eastAsia="zh-CN"/>
              </w:rPr>
              <w:drawing>
                <wp:inline distT="0" distB="0" distL="114300" distR="114300">
                  <wp:extent cx="2352040" cy="3136265"/>
                  <wp:effectExtent l="0" t="0" r="10160" b="6985"/>
                  <wp:docPr id="79" name="图片 79" descr="IMG_20210524_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0210524_100544"/>
                          <pic:cNvPicPr>
                            <a:picLocks noChangeAspect="1"/>
                          </pic:cNvPicPr>
                        </pic:nvPicPr>
                        <pic:blipFill>
                          <a:blip r:embed="rId6"/>
                          <a:stretch>
                            <a:fillRect/>
                          </a:stretch>
                        </pic:blipFill>
                        <pic:spPr>
                          <a:xfrm>
                            <a:off x="0" y="0"/>
                            <a:ext cx="2352040" cy="3136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满意</w:t>
            </w:r>
          </w:p>
        </w:tc>
      </w:tr>
    </w:tbl>
    <w:p/>
    <w:p>
      <w:pPr>
        <w:widowControl/>
        <w:shd w:val="clear" w:color="auto" w:fill="FFFFFF"/>
        <w:spacing w:after="150"/>
        <w:jc w:val="center"/>
        <w:rPr>
          <w:rFonts w:hint="eastAsia" w:ascii="Times New Roman" w:hAnsi="Times New Roman"/>
          <w:color w:val="auto"/>
          <w:kern w:val="0"/>
          <w:sz w:val="28"/>
          <w:szCs w:val="28"/>
          <w:shd w:val="clear" w:color="auto" w:fill="FFFFFF"/>
        </w:rPr>
      </w:pPr>
    </w:p>
    <w:p>
      <w:pPr>
        <w:widowControl/>
        <w:shd w:val="clear" w:color="auto" w:fill="FFFFFF"/>
        <w:spacing w:after="150"/>
        <w:jc w:val="center"/>
        <w:rPr>
          <w:rFonts w:hint="eastAsia" w:ascii="Times New Roman" w:hAnsi="Times New Roman"/>
          <w:color w:val="auto"/>
          <w:kern w:val="0"/>
          <w:sz w:val="28"/>
          <w:szCs w:val="28"/>
          <w:shd w:val="clear" w:color="auto" w:fill="FFFFFF"/>
        </w:rPr>
      </w:pPr>
    </w:p>
    <w:p>
      <w:pPr>
        <w:widowControl/>
        <w:shd w:val="clear" w:color="auto" w:fill="FFFFFF"/>
        <w:spacing w:after="150"/>
        <w:jc w:val="center"/>
        <w:rPr>
          <w:rFonts w:hint="eastAsia" w:ascii="Times New Roman" w:hAnsi="Times New Roman"/>
          <w:color w:val="auto"/>
          <w:kern w:val="0"/>
          <w:sz w:val="28"/>
          <w:szCs w:val="28"/>
          <w:shd w:val="clear" w:color="auto" w:fill="FFFFFF"/>
        </w:rPr>
      </w:pPr>
    </w:p>
    <w:p>
      <w:pPr>
        <w:widowControl/>
        <w:shd w:val="clear" w:color="auto" w:fill="FFFFFF"/>
        <w:spacing w:after="150"/>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18"/>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809"/>
        <w:gridCol w:w="1627"/>
        <w:gridCol w:w="4843"/>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项目名称</w:t>
            </w:r>
          </w:p>
        </w:tc>
        <w:tc>
          <w:tcPr>
            <w:tcW w:w="8420" w:type="dxa"/>
            <w:gridSpan w:val="3"/>
            <w:tcBorders>
              <w:tl2br w:val="nil"/>
              <w:tr2bl w:val="nil"/>
            </w:tcBorders>
            <w:shd w:val="clear" w:color="auto" w:fill="FFFFFF"/>
            <w:vAlign w:val="center"/>
          </w:tcPr>
          <w:p>
            <w:pPr>
              <w:widowControl/>
              <w:spacing w:after="150"/>
              <w:jc w:val="both"/>
              <w:rPr>
                <w:rFonts w:ascii="Times New Roman" w:hAnsi="Times New Roman"/>
                <w:color w:val="auto"/>
                <w:sz w:val="24"/>
              </w:rPr>
            </w:pPr>
            <w:r>
              <w:rPr>
                <w:rFonts w:hint="eastAsia" w:ascii="Times New Roman" w:hAnsi="Times New Roman"/>
                <w:color w:val="auto"/>
                <w:sz w:val="24"/>
              </w:rPr>
              <w:t>中国航空油料有限责任公司江苏分公司扬州泰州国际机场一期扩建供油工程竣工验收安全评价报告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完成时间</w:t>
            </w:r>
          </w:p>
        </w:tc>
        <w:tc>
          <w:tcPr>
            <w:tcW w:w="842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2021.</w:t>
            </w:r>
            <w:r>
              <w:rPr>
                <w:rFonts w:hint="eastAsia" w:ascii="Times New Roman" w:hAnsi="Times New Roman" w:eastAsia="宋体"/>
                <w:color w:val="auto"/>
                <w:sz w:val="24"/>
                <w:lang w:val="en-US" w:eastAsia="zh-CN"/>
              </w:rPr>
              <w:t>5</w:t>
            </w:r>
            <w:r>
              <w:rPr>
                <w:rFonts w:hint="default" w:ascii="Times New Roman" w:hAnsi="Times New Roman" w:eastAsia="宋体"/>
                <w:color w:val="auto"/>
                <w:sz w:val="24"/>
                <w:lang w:val="en-US" w:eastAsia="zh-CN"/>
              </w:rPr>
              <w:t>.2</w:t>
            </w:r>
            <w:r>
              <w:rPr>
                <w:rFonts w:hint="eastAsia" w:ascii="Times New Roman" w:hAnsi="Times New Roman" w:eastAsia="宋体"/>
                <w:color w:val="auto"/>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color w:val="auto"/>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jc w:val="center"/>
              <w:rPr>
                <w:rFonts w:ascii="Times New Roman" w:hAnsi="Times New Roman"/>
                <w:color w:val="auto"/>
                <w:sz w:val="24"/>
              </w:rPr>
            </w:pPr>
          </w:p>
        </w:tc>
        <w:tc>
          <w:tcPr>
            <w:tcW w:w="1627"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姓名</w:t>
            </w:r>
          </w:p>
        </w:tc>
        <w:tc>
          <w:tcPr>
            <w:tcW w:w="4843"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资格证书号</w:t>
            </w:r>
          </w:p>
        </w:tc>
        <w:tc>
          <w:tcPr>
            <w:tcW w:w="1950"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jc w:val="center"/>
              <w:rPr>
                <w:color w:val="auto"/>
                <w:sz w:val="24"/>
              </w:rPr>
            </w:pPr>
            <w:r>
              <w:rPr>
                <w:color w:val="auto"/>
                <w:sz w:val="24"/>
              </w:rPr>
              <w:t>项目负责人</w:t>
            </w:r>
          </w:p>
        </w:tc>
        <w:tc>
          <w:tcPr>
            <w:tcW w:w="1627"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岳强</w:t>
            </w:r>
          </w:p>
        </w:tc>
        <w:tc>
          <w:tcPr>
            <w:tcW w:w="4843"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eastAsia="zh-CN"/>
              </w:rPr>
              <w:t>0800000000102212</w:t>
            </w:r>
          </w:p>
        </w:tc>
        <w:tc>
          <w:tcPr>
            <w:tcW w:w="1950"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vMerge w:val="restart"/>
            <w:tcBorders>
              <w:tl2br w:val="nil"/>
              <w:tr2bl w:val="nil"/>
            </w:tcBorders>
            <w:shd w:val="clear" w:color="auto" w:fill="FFFFFF"/>
            <w:vAlign w:val="center"/>
          </w:tcPr>
          <w:p>
            <w:pPr>
              <w:jc w:val="center"/>
              <w:rPr>
                <w:color w:val="auto"/>
                <w:sz w:val="24"/>
              </w:rPr>
            </w:pPr>
            <w:r>
              <w:rPr>
                <w:color w:val="auto"/>
                <w:sz w:val="24"/>
              </w:rPr>
              <w:t>项目组成员</w:t>
            </w:r>
          </w:p>
        </w:tc>
        <w:tc>
          <w:tcPr>
            <w:tcW w:w="1627"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林庆水</w:t>
            </w:r>
          </w:p>
        </w:tc>
        <w:tc>
          <w:tcPr>
            <w:tcW w:w="484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S011035000110192001611</w:t>
            </w:r>
          </w:p>
        </w:tc>
        <w:tc>
          <w:tcPr>
            <w:tcW w:w="19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vMerge w:val="continue"/>
            <w:tcBorders>
              <w:tl2br w:val="nil"/>
              <w:tr2bl w:val="nil"/>
            </w:tcBorders>
            <w:shd w:val="clear" w:color="auto" w:fill="FFFFFF"/>
            <w:vAlign w:val="center"/>
          </w:tcPr>
          <w:p>
            <w:pPr>
              <w:jc w:val="center"/>
              <w:rPr>
                <w:color w:val="auto"/>
                <w:sz w:val="24"/>
              </w:rPr>
            </w:pPr>
          </w:p>
        </w:tc>
        <w:tc>
          <w:tcPr>
            <w:tcW w:w="1627"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cs="Times New Roman"/>
                <w:kern w:val="2"/>
                <w:sz w:val="24"/>
                <w:szCs w:val="24"/>
                <w:lang w:val="en-US" w:eastAsia="zh-CN" w:bidi="ar-SA"/>
              </w:rPr>
              <w:t>高昊</w:t>
            </w:r>
          </w:p>
        </w:tc>
        <w:tc>
          <w:tcPr>
            <w:tcW w:w="4843" w:type="dxa"/>
            <w:tcBorders>
              <w:tl2br w:val="nil"/>
              <w:tr2bl w:val="nil"/>
            </w:tcBorders>
            <w:shd w:val="clear" w:color="auto" w:fill="FFFFFF"/>
            <w:vAlign w:val="center"/>
          </w:tcPr>
          <w:p>
            <w:pPr>
              <w:spacing w:before="120" w:beforeLines="50" w:after="120" w:afterLines="50" w:line="400" w:lineRule="exact"/>
              <w:jc w:val="center"/>
              <w:rPr>
                <w:rFonts w:hint="default" w:ascii="Times New Roman" w:hAnsi="Times New Roman" w:eastAsia="宋体" w:cs="Times New Roman"/>
                <w:color w:val="auto"/>
                <w:kern w:val="2"/>
                <w:sz w:val="24"/>
                <w:szCs w:val="24"/>
                <w:lang w:val="en-US" w:eastAsia="zh-CN" w:bidi="ar-SA"/>
              </w:rPr>
            </w:pPr>
            <w:r>
              <w:rPr>
                <w:rFonts w:hint="eastAsia" w:cs="Times New Roman"/>
                <w:kern w:val="2"/>
                <w:sz w:val="24"/>
                <w:szCs w:val="24"/>
                <w:lang w:val="en-US" w:eastAsia="zh-CN" w:bidi="ar-SA"/>
              </w:rPr>
              <w:t>S011037000110193001374</w:t>
            </w:r>
          </w:p>
        </w:tc>
        <w:tc>
          <w:tcPr>
            <w:tcW w:w="1950" w:type="dxa"/>
            <w:tcBorders>
              <w:tl2br w:val="nil"/>
              <w:tr2bl w:val="nil"/>
            </w:tcBorders>
            <w:shd w:val="clear" w:color="auto" w:fill="FFFFFF"/>
            <w:vAlign w:val="center"/>
          </w:tcPr>
          <w:p>
            <w:pPr>
              <w:spacing w:before="120" w:beforeLines="50" w:after="120" w:afterLines="50" w:line="400" w:lineRule="exact"/>
              <w:jc w:val="center"/>
              <w:rPr>
                <w:rFonts w:hint="default" w:ascii="Times New Roman" w:hAnsi="Times New Roman" w:eastAsia="宋体" w:cs="Times New Roman"/>
                <w:color w:val="auto"/>
                <w:kern w:val="2"/>
                <w:sz w:val="24"/>
                <w:szCs w:val="24"/>
                <w:lang w:val="en-US" w:eastAsia="zh-CN" w:bidi="ar-SA"/>
              </w:rPr>
            </w:pPr>
            <w:r>
              <w:rPr>
                <w:rFonts w:hint="eastAsia" w:cs="Times New Roman"/>
                <w:kern w:val="2"/>
                <w:sz w:val="24"/>
                <w:szCs w:val="24"/>
                <w:lang w:val="en-US" w:eastAsia="zh-CN" w:bidi="ar-SA"/>
              </w:rPr>
              <w:t>037499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vMerge w:val="continue"/>
            <w:tcBorders>
              <w:tl2br w:val="nil"/>
              <w:tr2bl w:val="nil"/>
            </w:tcBorders>
            <w:shd w:val="clear" w:color="auto" w:fill="FFFFFF"/>
            <w:vAlign w:val="center"/>
          </w:tcPr>
          <w:p>
            <w:pPr>
              <w:jc w:val="center"/>
              <w:rPr>
                <w:color w:val="auto"/>
                <w:sz w:val="24"/>
              </w:rPr>
            </w:pPr>
          </w:p>
        </w:tc>
        <w:tc>
          <w:tcPr>
            <w:tcW w:w="1627"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lang w:val="en-US" w:eastAsia="zh-CN"/>
              </w:rPr>
              <w:t>吴强</w:t>
            </w:r>
          </w:p>
        </w:tc>
        <w:tc>
          <w:tcPr>
            <w:tcW w:w="4843" w:type="dxa"/>
            <w:tcBorders>
              <w:tl2br w:val="nil"/>
              <w:tr2bl w:val="nil"/>
            </w:tcBorders>
            <w:shd w:val="clear" w:color="auto" w:fill="FFFFFF"/>
            <w:vAlign w:val="center"/>
          </w:tcPr>
          <w:p>
            <w:pPr>
              <w:spacing w:before="120" w:beforeLines="50" w:after="120" w:afterLines="50" w:line="400" w:lineRule="exact"/>
              <w:jc w:val="center"/>
              <w:rPr>
                <w:rFonts w:hint="default" w:ascii="Times New Roman" w:hAnsi="Times New Roman" w:eastAsia="宋体" w:cs="Times New Roman"/>
                <w:color w:val="auto"/>
                <w:kern w:val="2"/>
                <w:sz w:val="24"/>
                <w:szCs w:val="24"/>
                <w:lang w:val="en-US" w:eastAsia="zh-CN" w:bidi="ar-SA"/>
              </w:rPr>
            </w:pPr>
            <w:r>
              <w:rPr>
                <w:rFonts w:hint="eastAsia" w:cs="Times New Roman"/>
                <w:kern w:val="2"/>
                <w:sz w:val="24"/>
                <w:szCs w:val="24"/>
                <w:lang w:val="en-US" w:eastAsia="zh-CN" w:bidi="ar-SA"/>
              </w:rPr>
              <w:t>1100000000200989</w:t>
            </w:r>
          </w:p>
        </w:tc>
        <w:tc>
          <w:tcPr>
            <w:tcW w:w="1950" w:type="dxa"/>
            <w:tcBorders>
              <w:tl2br w:val="nil"/>
              <w:tr2bl w:val="nil"/>
            </w:tcBorders>
            <w:shd w:val="clear" w:color="auto" w:fill="FFFFFF"/>
            <w:vAlign w:val="center"/>
          </w:tcPr>
          <w:p>
            <w:pPr>
              <w:spacing w:before="120" w:beforeLines="50" w:after="120" w:afterLines="50" w:line="400" w:lineRule="exact"/>
              <w:jc w:val="center"/>
              <w:rPr>
                <w:rFonts w:hint="default" w:ascii="Times New Roman" w:hAnsi="Times New Roman" w:eastAsia="宋体" w:cs="Times New Roman"/>
                <w:color w:val="auto"/>
                <w:kern w:val="2"/>
                <w:sz w:val="24"/>
                <w:szCs w:val="24"/>
                <w:lang w:val="en-US" w:eastAsia="zh-CN" w:bidi="ar-SA"/>
              </w:rPr>
            </w:pPr>
            <w:r>
              <w:rPr>
                <w:rFonts w:hint="eastAsia"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技术专家</w:t>
            </w:r>
          </w:p>
        </w:tc>
        <w:tc>
          <w:tcPr>
            <w:tcW w:w="8420" w:type="dxa"/>
            <w:gridSpan w:val="3"/>
            <w:tcBorders>
              <w:tl2br w:val="nil"/>
              <w:tr2bl w:val="nil"/>
            </w:tcBorders>
            <w:shd w:val="clear" w:color="auto" w:fill="FFFFFF"/>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现场勘察人员及时间</w:t>
            </w:r>
          </w:p>
        </w:tc>
        <w:tc>
          <w:tcPr>
            <w:tcW w:w="842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widowControl/>
              <w:spacing w:after="150"/>
              <w:jc w:val="center"/>
              <w:rPr>
                <w:rFonts w:hint="default" w:ascii="Times New Roman" w:hAnsi="Times New Roman" w:eastAsia="宋体"/>
                <w:color w:val="auto"/>
                <w:kern w:val="0"/>
                <w:sz w:val="24"/>
                <w:shd w:val="clear" w:color="auto" w:fill="FFFFFF"/>
                <w:lang w:val="en-US" w:eastAsia="zh-CN"/>
              </w:rPr>
            </w:pPr>
            <w:r>
              <w:rPr>
                <w:rFonts w:hint="eastAsia" w:ascii="Times New Roman" w:hAnsi="Times New Roman"/>
                <w:color w:val="auto"/>
                <w:kern w:val="0"/>
                <w:sz w:val="24"/>
                <w:shd w:val="clear" w:color="auto" w:fill="FFFFFF"/>
                <w:lang w:val="en-US" w:eastAsia="zh-CN"/>
              </w:rPr>
              <w:t>现场核查的人员和时间</w:t>
            </w:r>
          </w:p>
        </w:tc>
        <w:tc>
          <w:tcPr>
            <w:tcW w:w="8420" w:type="dxa"/>
            <w:gridSpan w:val="3"/>
            <w:tcBorders>
              <w:tl2br w:val="nil"/>
              <w:tr2bl w:val="nil"/>
            </w:tcBorders>
            <w:shd w:val="clear" w:color="auto" w:fill="FFFFFF"/>
            <w:vAlign w:val="center"/>
          </w:tcPr>
          <w:p>
            <w:pPr>
              <w:widowControl/>
              <w:spacing w:after="150"/>
              <w:jc w:val="center"/>
              <w:rPr>
                <w:rFonts w:hint="eastAsia" w:ascii="Times New Roman" w:hAnsi="Times New Roman"/>
                <w:color w:val="auto"/>
                <w:sz w:val="24"/>
                <w:lang w:val="en-US" w:eastAsia="zh-CN"/>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项目简介</w:t>
            </w:r>
          </w:p>
        </w:tc>
        <w:tc>
          <w:tcPr>
            <w:tcW w:w="8420" w:type="dxa"/>
            <w:gridSpan w:val="3"/>
            <w:tcBorders>
              <w:tl2br w:val="nil"/>
              <w:tr2bl w:val="nil"/>
            </w:tcBorders>
            <w:shd w:val="clear" w:color="auto" w:fill="FFFFFF"/>
            <w:vAlign w:val="center"/>
          </w:tcPr>
          <w:p>
            <w:pPr>
              <w:snapToGrid w:val="0"/>
              <w:spacing w:line="240" w:lineRule="auto"/>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扬泰机场机场油库建成于 2012 年，油库原有用地面积为12000m2，约18.0亩。机场油库原有设施如下：综合办公用房、装卸油棚、消防泵房及配电间、检修车棚、2座500m3的立式拱顶油罐、1座30m3的地上卧式沉淀罐、1座10m3的埋地卧式污油罐。机场油库总库容1000m³，属于四级油库。机场油库配有22000L罐式加油车 4台，目前扬泰机场航油来自南京扬子石化经公路配送至扬泰机场，采用罐式加油车为飞机加油。扬州泰州国际机场一期扩建供油工程（以下简称本项目）于2018年09月28日在扬州市发改委备案，备案号：扬发改备[2018]118号。</w:t>
            </w:r>
          </w:p>
          <w:p>
            <w:pPr>
              <w:snapToGrid w:val="0"/>
              <w:spacing w:line="240" w:lineRule="auto"/>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中国航空油料有限责任公司江苏分公司扬州泰州国际机场一期扩建供油工程设置了相应的安全设施，具备竣工验收条件，符合国家现行有关安全生产法律、法规、规章及标准、规范规定和要求的安全生产条件，安全风险可接受。</w:t>
            </w:r>
          </w:p>
          <w:p>
            <w:pPr>
              <w:snapToGrid w:val="0"/>
              <w:spacing w:line="240" w:lineRule="auto"/>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color w:val="auto"/>
                <w:kern w:val="0"/>
                <w:sz w:val="24"/>
                <w:shd w:val="clear" w:color="auto" w:fill="FFFFFF"/>
                <w:lang w:eastAsia="zh-CN"/>
              </w:rPr>
              <w:t>现场照片</w:t>
            </w:r>
          </w:p>
        </w:tc>
        <w:tc>
          <w:tcPr>
            <w:tcW w:w="8420" w:type="dxa"/>
            <w:gridSpan w:val="3"/>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drawing>
                <wp:inline distT="0" distB="0" distL="114300" distR="114300">
                  <wp:extent cx="5269865" cy="3350895"/>
                  <wp:effectExtent l="0" t="0" r="6985" b="1905"/>
                  <wp:docPr id="23" name="图片 5" descr="库区灭火器位置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库区灭火器位置调整"/>
                          <pic:cNvPicPr>
                            <a:picLocks noChangeAspect="1"/>
                          </pic:cNvPicPr>
                        </pic:nvPicPr>
                        <pic:blipFill>
                          <a:blip r:embed="rId7"/>
                          <a:stretch>
                            <a:fillRect/>
                          </a:stretch>
                        </pic:blipFill>
                        <pic:spPr>
                          <a:xfrm>
                            <a:off x="0" y="0"/>
                            <a:ext cx="5269865" cy="3350895"/>
                          </a:xfrm>
                          <a:prstGeom prst="rect">
                            <a:avLst/>
                          </a:prstGeom>
                          <a:noFill/>
                          <a:ln>
                            <a:noFill/>
                          </a:ln>
                        </pic:spPr>
                      </pic:pic>
                    </a:graphicData>
                  </a:graphic>
                </wp:inline>
              </w:drawing>
            </w:r>
            <w:r>
              <w:drawing>
                <wp:inline distT="0" distB="0" distL="114300" distR="114300">
                  <wp:extent cx="5269865" cy="2976880"/>
                  <wp:effectExtent l="0" t="0" r="6985" b="13970"/>
                  <wp:docPr id="24" name="图片 6" descr="配电箱按钮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配电箱按钮标识"/>
                          <pic:cNvPicPr>
                            <a:picLocks noChangeAspect="1"/>
                          </pic:cNvPicPr>
                        </pic:nvPicPr>
                        <pic:blipFill>
                          <a:blip r:embed="rId8"/>
                          <a:stretch>
                            <a:fillRect/>
                          </a:stretch>
                        </pic:blipFill>
                        <pic:spPr>
                          <a:xfrm>
                            <a:off x="0" y="0"/>
                            <a:ext cx="5269865" cy="2976880"/>
                          </a:xfrm>
                          <a:prstGeom prst="rect">
                            <a:avLst/>
                          </a:prstGeom>
                          <a:noFill/>
                          <a:ln>
                            <a:noFill/>
                          </a:ln>
                        </pic:spPr>
                      </pic:pic>
                    </a:graphicData>
                  </a:graphic>
                </wp:inline>
              </w:drawing>
            </w:r>
            <w:r>
              <w:drawing>
                <wp:inline distT="0" distB="0" distL="114300" distR="114300">
                  <wp:extent cx="5269865" cy="3502660"/>
                  <wp:effectExtent l="0" t="0" r="6985" b="2540"/>
                  <wp:docPr id="26" name="图片 7" descr="水封井控制阀状态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水封井控制阀状态标识"/>
                          <pic:cNvPicPr>
                            <a:picLocks noChangeAspect="1"/>
                          </pic:cNvPicPr>
                        </pic:nvPicPr>
                        <pic:blipFill>
                          <a:blip r:embed="rId9"/>
                          <a:stretch>
                            <a:fillRect/>
                          </a:stretch>
                        </pic:blipFill>
                        <pic:spPr>
                          <a:xfrm>
                            <a:off x="0" y="0"/>
                            <a:ext cx="5269865" cy="3502660"/>
                          </a:xfrm>
                          <a:prstGeom prst="rect">
                            <a:avLst/>
                          </a:prstGeom>
                          <a:noFill/>
                          <a:ln>
                            <a:noFill/>
                          </a:ln>
                        </pic:spPr>
                      </pic:pic>
                    </a:graphicData>
                  </a:graphic>
                </wp:inline>
              </w:drawing>
            </w:r>
            <w:r>
              <w:drawing>
                <wp:inline distT="0" distB="0" distL="114300" distR="114300">
                  <wp:extent cx="5269865" cy="3517900"/>
                  <wp:effectExtent l="0" t="0" r="6985" b="6350"/>
                  <wp:docPr id="27" name="图片 8" descr="污油罐静电接地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污油罐静电接地器"/>
                          <pic:cNvPicPr>
                            <a:picLocks noChangeAspect="1"/>
                          </pic:cNvPicPr>
                        </pic:nvPicPr>
                        <pic:blipFill>
                          <a:blip r:embed="rId10"/>
                          <a:stretch>
                            <a:fillRect/>
                          </a:stretch>
                        </pic:blipFill>
                        <pic:spPr>
                          <a:xfrm>
                            <a:off x="0" y="0"/>
                            <a:ext cx="5269865" cy="3517900"/>
                          </a:xfrm>
                          <a:prstGeom prst="rect">
                            <a:avLst/>
                          </a:prstGeom>
                          <a:noFill/>
                          <a:ln>
                            <a:noFill/>
                          </a:ln>
                        </pic:spPr>
                      </pic:pic>
                    </a:graphicData>
                  </a:graphic>
                </wp:inline>
              </w:drawing>
            </w:r>
            <w:r>
              <w:drawing>
                <wp:inline distT="0" distB="0" distL="114300" distR="114300">
                  <wp:extent cx="5269865" cy="3609975"/>
                  <wp:effectExtent l="0" t="0" r="6985" b="9525"/>
                  <wp:docPr id="29" name="图片 9" descr="洗眼器阀门更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洗眼器阀门更换"/>
                          <pic:cNvPicPr>
                            <a:picLocks noChangeAspect="1"/>
                          </pic:cNvPicPr>
                        </pic:nvPicPr>
                        <pic:blipFill>
                          <a:blip r:embed="rId11"/>
                          <a:stretch>
                            <a:fillRect/>
                          </a:stretch>
                        </pic:blipFill>
                        <pic:spPr>
                          <a:xfrm>
                            <a:off x="0" y="0"/>
                            <a:ext cx="5269865" cy="3609975"/>
                          </a:xfrm>
                          <a:prstGeom prst="rect">
                            <a:avLst/>
                          </a:prstGeom>
                          <a:noFill/>
                          <a:ln>
                            <a:noFill/>
                          </a:ln>
                        </pic:spPr>
                      </pic:pic>
                    </a:graphicData>
                  </a:graphic>
                </wp:inline>
              </w:drawing>
            </w:r>
            <w:r>
              <w:drawing>
                <wp:inline distT="0" distB="0" distL="114300" distR="114300">
                  <wp:extent cx="5269865" cy="3952240"/>
                  <wp:effectExtent l="0" t="0" r="6985" b="10160"/>
                  <wp:docPr id="30" name="图片 10" descr="压力表上下限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压力表上下限标志"/>
                          <pic:cNvPicPr>
                            <a:picLocks noChangeAspect="1"/>
                          </pic:cNvPicPr>
                        </pic:nvPicPr>
                        <pic:blipFill>
                          <a:blip r:embed="rId12"/>
                          <a:stretch>
                            <a:fillRect/>
                          </a:stretch>
                        </pic:blipFill>
                        <pic:spPr>
                          <a:xfrm>
                            <a:off x="0" y="0"/>
                            <a:ext cx="5269865" cy="39522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被评价单位信息反馈情况</w:t>
            </w:r>
          </w:p>
        </w:tc>
        <w:tc>
          <w:tcPr>
            <w:tcW w:w="8420" w:type="dxa"/>
            <w:gridSpan w:val="3"/>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满意</w:t>
            </w:r>
          </w:p>
        </w:tc>
      </w:tr>
    </w:tbl>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altName w:val="Calibri"/>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57A30"/>
    <w:rsid w:val="24A56AF3"/>
    <w:rsid w:val="25CF7346"/>
    <w:rsid w:val="51302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qFormat="1" w:uiPriority="99"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unhideWhenUsed/>
    <w:qFormat/>
    <w:uiPriority w:val="99"/>
    <w:pPr>
      <w:spacing w:after="120"/>
      <w:ind w:left="420" w:leftChars="200"/>
    </w:pPr>
  </w:style>
  <w:style w:type="paragraph" w:styleId="7">
    <w:name w:val="Body Text Indent 2"/>
    <w:basedOn w:val="1"/>
    <w:qFormat/>
    <w:uiPriority w:val="0"/>
    <w:pPr>
      <w:spacing w:after="120" w:afterLines="0" w:afterAutospacing="0" w:line="480" w:lineRule="auto"/>
      <w:ind w:left="420" w:leftChars="200"/>
    </w:pPr>
    <w:rPr>
      <w:rFonts w:eastAsia="宋体" w:cs="Times New Roman"/>
    </w:rPr>
  </w:style>
  <w:style w:type="paragraph" w:styleId="8">
    <w:name w:val="Balloon Text"/>
    <w:basedOn w:val="1"/>
    <w:link w:val="27"/>
    <w:qFormat/>
    <w:uiPriority w:val="0"/>
    <w:rPr>
      <w:sz w:val="18"/>
      <w:szCs w:val="18"/>
    </w:rPr>
  </w:style>
  <w:style w:type="paragraph" w:styleId="9">
    <w:name w:val="footer"/>
    <w:basedOn w:val="1"/>
    <w:next w:val="10"/>
    <w:qFormat/>
    <w:uiPriority w:val="99"/>
    <w:pPr>
      <w:tabs>
        <w:tab w:val="center" w:pos="4153"/>
        <w:tab w:val="right" w:pos="8306"/>
      </w:tabs>
      <w:snapToGrid w:val="0"/>
    </w:pPr>
    <w:rPr>
      <w:sz w:val="18"/>
      <w:szCs w:val="18"/>
    </w:rPr>
  </w:style>
  <w:style w:type="paragraph" w:styleId="10">
    <w:name w:val="Normal (Web)"/>
    <w:basedOn w:val="1"/>
    <w:next w:val="11"/>
    <w:qFormat/>
    <w:uiPriority w:val="0"/>
    <w:pPr>
      <w:spacing w:before="100" w:beforeAutospacing="1" w:after="100" w:afterAutospacing="1"/>
      <w:jc w:val="left"/>
    </w:pPr>
    <w:rPr>
      <w:kern w:val="0"/>
      <w:sz w:val="24"/>
    </w:rPr>
  </w:style>
  <w:style w:type="paragraph" w:customStyle="1" w:styleId="11">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spacing w:before="240" w:after="120"/>
      <w:jc w:val="left"/>
    </w:pPr>
    <w:rPr>
      <w:b/>
      <w:bCs/>
      <w:sz w:val="20"/>
      <w:szCs w:val="20"/>
    </w:rPr>
  </w:style>
  <w:style w:type="paragraph" w:styleId="14">
    <w:name w:val="index heading"/>
    <w:basedOn w:val="1"/>
    <w:next w:val="15"/>
    <w:semiHidden/>
    <w:unhideWhenUsed/>
    <w:qFormat/>
    <w:uiPriority w:val="99"/>
    <w:rPr>
      <w:rFonts w:asciiTheme="majorHAnsi" w:hAnsiTheme="majorHAnsi" w:eastAsiaTheme="majorEastAsia" w:cstheme="majorBidi"/>
      <w:b/>
      <w:bCs/>
    </w:rPr>
  </w:style>
  <w:style w:type="paragraph" w:styleId="15">
    <w:name w:val="index 1"/>
    <w:basedOn w:val="1"/>
    <w:next w:val="1"/>
    <w:semiHidden/>
    <w:unhideWhenUsed/>
    <w:qFormat/>
    <w:uiPriority w:val="99"/>
    <w:rPr>
      <w:rFonts w:eastAsia="宋体" w:cs="Times New Roman"/>
    </w:rPr>
  </w:style>
  <w:style w:type="paragraph" w:styleId="16">
    <w:name w:val="Body Text First Indent"/>
    <w:basedOn w:val="2"/>
    <w:qFormat/>
    <w:uiPriority w:val="0"/>
    <w:pPr>
      <w:spacing w:after="120"/>
      <w:ind w:firstLine="420" w:firstLineChars="100"/>
    </w:pPr>
  </w:style>
  <w:style w:type="paragraph" w:styleId="17">
    <w:name w:val="Body Text First Indent 2"/>
    <w:basedOn w:val="6"/>
    <w:next w:val="2"/>
    <w:unhideWhenUsed/>
    <w:qFormat/>
    <w:uiPriority w:val="99"/>
    <w:pPr>
      <w:ind w:firstLine="420" w:firstLineChars="200"/>
    </w:p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Times New Roman" w:hAnsi="Times New Roman" w:eastAsia="宋体" w:cs="Times New Roman"/>
    </w:rPr>
  </w:style>
  <w:style w:type="paragraph" w:customStyle="1" w:styleId="22">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 w:type="paragraph" w:customStyle="1" w:styleId="23">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4">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qFormat/>
    <w:uiPriority w:val="0"/>
    <w:pPr>
      <w:widowControl/>
    </w:pPr>
    <w:rPr>
      <w:kern w:val="0"/>
      <w:szCs w:val="21"/>
    </w:rPr>
  </w:style>
  <w:style w:type="character" w:customStyle="1" w:styleId="27">
    <w:name w:val="批注框文本 Char"/>
    <w:basedOn w:val="20"/>
    <w:link w:val="8"/>
    <w:qFormat/>
    <w:uiPriority w:val="0"/>
    <w:rPr>
      <w:rFonts w:ascii="Times New Roman" w:hAnsi="Times New Roman" w:eastAsia="宋体" w:cs="Times New Roman"/>
      <w:sz w:val="18"/>
      <w:szCs w:val="18"/>
    </w:rPr>
  </w:style>
  <w:style w:type="paragraph" w:customStyle="1" w:styleId="28">
    <w:name w:val="样式1"/>
    <w:basedOn w:val="13"/>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Pages>
  <Words>153</Words>
  <Characters>875</Characters>
  <Lines>7</Lines>
  <Paragraphs>2</Paragraphs>
  <TotalTime>0</TotalTime>
  <ScaleCrop>false</ScaleCrop>
  <LinksUpToDate>false</LinksUpToDate>
  <CharactersWithSpaces>1026</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Administrator</cp:lastModifiedBy>
  <dcterms:modified xsi:type="dcterms:W3CDTF">2021-06-30T09:08:41Z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71B59DBCEDEF43949B774DC73D8523FB</vt:lpwstr>
  </property>
</Properties>
</file>