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widowControl w:val="0"/>
        <w:kinsoku/>
        <w:wordWrap/>
        <w:overflowPunct/>
        <w:topLinePunct w:val="0"/>
        <w:autoSpaceDE/>
        <w:autoSpaceDN/>
        <w:bidi w:val="0"/>
        <w:adjustRightInd/>
        <w:snapToGrid/>
        <w:textAlignment w:val="auto"/>
        <w:rPr/>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中国石化销售股份有限公司贵州贵阳石油分公司</w:t>
            </w:r>
          </w:p>
          <w:p>
            <w:pPr>
              <w:pStyle w:val="16"/>
              <w:bidi w:val="0"/>
              <w:rPr>
                <w:rFonts w:hint="default"/>
                <w:lang w:val="en-US" w:eastAsia="zh-CN"/>
              </w:rPr>
            </w:pPr>
            <w:r>
              <w:rPr>
                <w:rFonts w:hint="eastAsia"/>
                <w:lang w:eastAsia="zh-CN"/>
              </w:rPr>
              <w:t>清镇云岭加油站迁建项目</w:t>
            </w:r>
            <w:r>
              <w:rPr>
                <w:rFonts w:hint="eastAsia"/>
                <w:lang w:val="en-US" w:eastAsia="zh-CN"/>
              </w:rPr>
              <w:t>安全验收评价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rPr/>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pPr>
            <w:r>
              <w:t>姓名</w:t>
            </w:r>
          </w:p>
        </w:tc>
        <w:tc>
          <w:tcPr>
            <w:tcW w:w="3812" w:type="dxa"/>
            <w:tcBorders>
              <w:tl2br w:val="nil"/>
              <w:tr2bl w:val="nil"/>
            </w:tcBorders>
            <w:shd w:val="clear" w:color="auto" w:fill="auto"/>
            <w:vAlign w:val="center"/>
          </w:tcPr>
          <w:p>
            <w:pPr>
              <w:pStyle w:val="16"/>
              <w:bidi w:val="0"/>
              <w:rPr/>
            </w:pPr>
            <w:r>
              <w:t>资格证书号</w:t>
            </w:r>
          </w:p>
        </w:tc>
        <w:tc>
          <w:tcPr>
            <w:tcW w:w="1872" w:type="dxa"/>
            <w:tcBorders>
              <w:tl2br w:val="nil"/>
              <w:tr2bl w:val="nil"/>
            </w:tcBorders>
            <w:shd w:val="clear" w:color="auto" w:fill="auto"/>
            <w:vAlign w:val="center"/>
          </w:tcPr>
          <w:p>
            <w:pPr>
              <w:pStyle w:val="16"/>
              <w:bidi w:val="0"/>
              <w:rPr/>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rPr/>
            </w:pPr>
            <w:r>
              <w:rPr>
                <w:rFonts w:hint="eastAsia"/>
              </w:rPr>
              <w:t>S011053000110201000846</w:t>
            </w:r>
          </w:p>
        </w:tc>
        <w:tc>
          <w:tcPr>
            <w:tcW w:w="1872" w:type="dxa"/>
            <w:tcBorders>
              <w:tl2br w:val="nil"/>
              <w:tr2bl w:val="nil"/>
            </w:tcBorders>
            <w:shd w:val="clear" w:color="auto" w:fill="auto"/>
            <w:vAlign w:val="center"/>
          </w:tcPr>
          <w:p>
            <w:pPr>
              <w:pStyle w:val="16"/>
              <w:bidi w:val="0"/>
              <w:rPr/>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rPr/>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rPr/>
            </w:pPr>
            <w:r>
              <w:rPr>
                <w:rFonts w:hint="eastAsia"/>
              </w:rPr>
              <w:t>1700000000301753</w:t>
            </w:r>
          </w:p>
        </w:tc>
        <w:tc>
          <w:tcPr>
            <w:tcW w:w="1872" w:type="dxa"/>
            <w:tcBorders>
              <w:tl2br w:val="nil"/>
              <w:tr2bl w:val="nil"/>
            </w:tcBorders>
            <w:shd w:val="clear" w:color="auto" w:fill="auto"/>
            <w:vAlign w:val="center"/>
          </w:tcPr>
          <w:p>
            <w:pPr>
              <w:pStyle w:val="16"/>
              <w:bidi w:val="0"/>
              <w:rPr/>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rPr/>
            </w:pPr>
            <w:r>
              <w:rPr>
                <w:rFonts w:hint="eastAsia"/>
              </w:rPr>
              <w:t>1800000000301231</w:t>
            </w:r>
          </w:p>
        </w:tc>
        <w:tc>
          <w:tcPr>
            <w:tcW w:w="1872" w:type="dxa"/>
            <w:tcBorders>
              <w:tl2br w:val="nil"/>
              <w:tr2bl w:val="nil"/>
            </w:tcBorders>
            <w:shd w:val="clear" w:color="auto" w:fill="auto"/>
            <w:vAlign w:val="center"/>
          </w:tcPr>
          <w:p>
            <w:pPr>
              <w:pStyle w:val="16"/>
              <w:bidi w:val="0"/>
              <w:rPr/>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rPr/>
            </w:pPr>
            <w:r>
              <w:rPr>
                <w:rFonts w:hint="eastAsia"/>
              </w:rPr>
              <w:t>S011053000110193002329</w:t>
            </w:r>
          </w:p>
        </w:tc>
        <w:tc>
          <w:tcPr>
            <w:tcW w:w="1872" w:type="dxa"/>
            <w:tcBorders>
              <w:tl2br w:val="nil"/>
              <w:tr2bl w:val="nil"/>
            </w:tcBorders>
            <w:shd w:val="clear" w:color="auto" w:fill="auto"/>
            <w:vAlign w:val="center"/>
          </w:tcPr>
          <w:p>
            <w:pPr>
              <w:pStyle w:val="16"/>
              <w:bidi w:val="0"/>
              <w:rPr/>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rPr/>
            </w:pPr>
            <w:r>
              <w:rPr>
                <w:rFonts w:hint="eastAsia"/>
              </w:rPr>
              <w:t>1700000000301699</w:t>
            </w:r>
          </w:p>
        </w:tc>
        <w:tc>
          <w:tcPr>
            <w:tcW w:w="1872" w:type="dxa"/>
            <w:tcBorders>
              <w:tl2br w:val="nil"/>
              <w:tr2bl w:val="nil"/>
            </w:tcBorders>
            <w:shd w:val="clear" w:color="auto" w:fill="auto"/>
            <w:vAlign w:val="center"/>
          </w:tcPr>
          <w:p>
            <w:pPr>
              <w:pStyle w:val="16"/>
              <w:bidi w:val="0"/>
              <w:rPr/>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技术专家</w:t>
            </w:r>
          </w:p>
        </w:tc>
        <w:tc>
          <w:tcPr>
            <w:tcW w:w="7480" w:type="dxa"/>
            <w:gridSpan w:val="3"/>
            <w:tcBorders>
              <w:tl2br w:val="nil"/>
              <w:tr2bl w:val="nil"/>
            </w:tcBorders>
            <w:shd w:val="clear" w:color="auto" w:fill="auto"/>
            <w:vAlign w:val="center"/>
          </w:tcPr>
          <w:p>
            <w:pPr>
              <w:pStyle w:val="16"/>
              <w:bidi w:val="0"/>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罗先丹、郦旭锋 2022.02.17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bookmarkStart w:id="0" w:name="_Toc14948022"/>
            <w:bookmarkStart w:id="1" w:name="_Hlk15307543"/>
            <w:bookmarkStart w:id="2" w:name="_Toc36388008"/>
            <w:r>
              <w:rPr>
                <w:rFonts w:hint="eastAsia"/>
                <w:lang w:eastAsia="zh-CN"/>
              </w:rPr>
              <w:t>中国石化销售股份有限公司贵州贵阳石油分公司清镇云岭加油站位于贵州省贵阳市清镇市站街镇黄柿村，属迁建项目</w:t>
            </w:r>
            <w:bookmarkEnd w:id="0"/>
            <w:bookmarkEnd w:id="1"/>
            <w:bookmarkEnd w:id="2"/>
            <w:r>
              <w:rPr>
                <w:rFonts w:hint="eastAsia"/>
                <w:lang w:eastAsia="zh-CN"/>
              </w:rPr>
              <w:t>。加油站于2018年12月28日取得贵阳市商务局文件“筑商复[2018]60号贵阳市商务局关于中石化销售有限公司贵州贵阳石油分公司机场路一号等加油站迁建的批复，</w:t>
            </w:r>
            <w:r>
              <w:rPr>
                <w:rFonts w:hint="eastAsia"/>
                <w:lang w:val="en-US" w:eastAsia="zh-CN"/>
              </w:rPr>
              <w:t>并</w:t>
            </w:r>
            <w:r>
              <w:rPr>
                <w:rFonts w:hint="eastAsia"/>
                <w:lang w:eastAsia="zh-CN"/>
              </w:rPr>
              <w:t>于201</w:t>
            </w:r>
            <w:r>
              <w:rPr>
                <w:rFonts w:hint="eastAsia"/>
                <w:lang w:val="en-US" w:eastAsia="zh-CN"/>
              </w:rPr>
              <w:t>9</w:t>
            </w:r>
            <w:r>
              <w:rPr>
                <w:rFonts w:hint="eastAsia"/>
                <w:lang w:eastAsia="zh-CN"/>
              </w:rPr>
              <w:t>年</w:t>
            </w:r>
            <w:r>
              <w:rPr>
                <w:rFonts w:hint="eastAsia"/>
                <w:lang w:val="en-US" w:eastAsia="zh-CN"/>
              </w:rPr>
              <w:t>5</w:t>
            </w:r>
            <w:r>
              <w:rPr>
                <w:rFonts w:hint="eastAsia"/>
                <w:lang w:eastAsia="zh-CN"/>
              </w:rPr>
              <w:t>月2</w:t>
            </w:r>
            <w:r>
              <w:rPr>
                <w:rFonts w:hint="eastAsia"/>
                <w:lang w:val="en-US" w:eastAsia="zh-CN"/>
              </w:rPr>
              <w:t>1</w:t>
            </w:r>
            <w:r>
              <w:rPr>
                <w:rFonts w:hint="eastAsia"/>
                <w:lang w:eastAsia="zh-CN"/>
              </w:rPr>
              <w:t>日获得</w:t>
            </w:r>
            <w:r>
              <w:rPr>
                <w:rFonts w:hint="eastAsia"/>
                <w:lang w:val="en-US" w:eastAsia="zh-CN"/>
              </w:rPr>
              <w:t>清镇市自然资源局建设用地批准书</w:t>
            </w:r>
            <w:r>
              <w:rPr>
                <w:rFonts w:hint="eastAsia"/>
                <w:lang w:eastAsia="zh-CN"/>
              </w:rPr>
              <w:t>。</w:t>
            </w:r>
            <w:r>
              <w:rPr>
                <w:rFonts w:hint="eastAsia"/>
                <w:lang w:val="en-US" w:eastAsia="zh-CN"/>
              </w:rPr>
              <w:t>加油站于2020年08月17日取</w:t>
            </w:r>
            <w:r>
              <w:rPr>
                <w:rFonts w:hint="eastAsia"/>
                <w:lang w:eastAsia="zh-CN"/>
              </w:rPr>
              <w:t>得《危险化学品建设项目安全审查意见书》（筑应急危化项目安条（设）审字[2020]29号）。</w:t>
            </w:r>
            <w:r>
              <w:rPr>
                <w:rFonts w:hint="eastAsia"/>
                <w:lang w:val="en-US" w:eastAsia="zh-CN"/>
              </w:rPr>
              <w:t>加油站于2020年9月20日开工，于2021年8月17日竣工。</w:t>
            </w:r>
            <w:r>
              <w:rPr>
                <w:rFonts w:hint="eastAsia"/>
                <w:lang w:eastAsia="zh-CN"/>
              </w:rPr>
              <w:t>在罩棚下方设3个SF双层储罐，其中：40m³92#汽油罐1个、40m³95#汽油罐1个、50m³0#柴油罐1个，总储量105m³（柴油折半计算），最大单罐容积为50m³。设4台潜油泵加油机，其中1台4枪95#0#双油品加油机、1台4枪92#0#双油品加油机、2台4枪92#/95#双油品加油机（汽油设双油气回收系统），根据《汽车加油加气加氢站技术标准》GB50156-2021第3.0.9条，为二级加油站。</w:t>
            </w:r>
          </w:p>
          <w:p>
            <w:pPr>
              <w:pStyle w:val="16"/>
              <w:bidi w:val="0"/>
              <w:rPr>
                <w:rFonts w:hint="eastAsia"/>
                <w:lang w:eastAsia="zh-CN"/>
              </w:rPr>
            </w:pPr>
            <w:r>
              <w:rPr>
                <w:rFonts w:hint="eastAsia"/>
                <w:lang w:eastAsia="zh-CN"/>
              </w:rPr>
              <w:t>评价结论：中国石化销售股份有限公司贵州贵阳石油分公司清镇云岭加油站符合安全要求，具备</w:t>
            </w:r>
            <w:r>
              <w:rPr>
                <w:rFonts w:hint="eastAsia"/>
                <w:lang w:val="en-US" w:eastAsia="zh-CN"/>
              </w:rPr>
              <w:t>加油站</w:t>
            </w:r>
            <w:r>
              <w:rPr>
                <w:rFonts w:hint="eastAsia"/>
                <w:lang w:eastAsia="zh-CN"/>
              </w:rPr>
              <w:t>安全经营条件。</w:t>
            </w:r>
          </w:p>
          <w:p>
            <w:pPr>
              <w:pStyle w:val="16"/>
              <w:bidi w:val="0"/>
              <w:rPr/>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3481705" cy="2520315"/>
                  <wp:effectExtent l="0" t="0" r="4445" b="13335"/>
                  <wp:docPr id="40" name="图片 3" descr="C:/Users/Administrator/AppData/Local/Temp/picturecompress_2021092416350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descr="C:/Users/Administrator/AppData/Local/Temp/picturecompress_20210924163502/output_1.jpgoutput_1"/>
                          <pic:cNvPicPr>
                            <a:picLocks noChangeAspect="1"/>
                          </pic:cNvPicPr>
                        </pic:nvPicPr>
                        <pic:blipFill>
                          <a:blip r:embed="rId5"/>
                          <a:stretch>
                            <a:fillRect/>
                          </a:stretch>
                        </pic:blipFill>
                        <pic:spPr>
                          <a:xfrm>
                            <a:off x="0" y="0"/>
                            <a:ext cx="3481705" cy="2520315"/>
                          </a:xfrm>
                          <a:prstGeom prst="rect">
                            <a:avLst/>
                          </a:prstGeom>
                          <a:noFill/>
                          <a:ln>
                            <a:noFill/>
                          </a:ln>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3458845" cy="2593975"/>
                  <wp:effectExtent l="0" t="0" r="8255" b="15875"/>
                  <wp:docPr id="27" name="图片 2" descr="IMG_20210923_13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IMG_20210923_135514"/>
                          <pic:cNvPicPr>
                            <a:picLocks noChangeAspect="1"/>
                          </pic:cNvPicPr>
                        </pic:nvPicPr>
                        <pic:blipFill>
                          <a:blip r:embed="rId6"/>
                          <a:stretch>
                            <a:fillRect/>
                          </a:stretch>
                        </pic:blipFill>
                        <pic:spPr>
                          <a:xfrm>
                            <a:off x="0" y="0"/>
                            <a:ext cx="3458845" cy="2593975"/>
                          </a:xfrm>
                          <a:prstGeom prst="rect">
                            <a:avLst/>
                          </a:prstGeom>
                          <a:noFill/>
                          <a:ln>
                            <a:noFill/>
                          </a:ln>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3424555" cy="2563495"/>
                  <wp:effectExtent l="0" t="0" r="4445" b="8255"/>
                  <wp:docPr id="41" name="图片 4" descr="IMG_20210923_13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descr="IMG_20210923_133841"/>
                          <pic:cNvPicPr>
                            <a:picLocks noChangeAspect="1"/>
                          </pic:cNvPicPr>
                        </pic:nvPicPr>
                        <pic:blipFill>
                          <a:blip r:embed="rId7"/>
                          <a:stretch>
                            <a:fillRect/>
                          </a:stretch>
                        </pic:blipFill>
                        <pic:spPr>
                          <a:xfrm>
                            <a:off x="0" y="0"/>
                            <a:ext cx="3424555" cy="2563495"/>
                          </a:xfrm>
                          <a:prstGeom prst="rect">
                            <a:avLst/>
                          </a:prstGeom>
                          <a:noFill/>
                          <a:ln>
                            <a:noFill/>
                          </a:ln>
                        </pic:spPr>
                      </pic:pic>
                    </a:graphicData>
                  </a:graphic>
                </wp:inline>
              </w:drawing>
            </w: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被评价单位信息反馈情况</w:t>
            </w:r>
          </w:p>
        </w:tc>
        <w:tc>
          <w:tcPr>
            <w:tcW w:w="7480" w:type="dxa"/>
            <w:gridSpan w:val="3"/>
            <w:tcBorders>
              <w:tl2br w:val="nil"/>
              <w:tr2bl w:val="nil"/>
            </w:tcBorders>
            <w:shd w:val="clear" w:color="auto" w:fill="auto"/>
            <w:vAlign w:val="center"/>
          </w:tcPr>
          <w:p>
            <w:pPr>
              <w:pStyle w:val="16"/>
              <w:bidi w:val="0"/>
              <w:rPr/>
            </w:pPr>
            <w:r>
              <w:t>满意</w:t>
            </w:r>
          </w:p>
        </w:tc>
      </w:tr>
    </w:tbl>
    <w:p>
      <w:pPr>
        <w:keepNext w:val="0"/>
        <w:keepLines w:val="0"/>
        <w:pageBreakBefore/>
        <w:widowControl w:val="0"/>
        <w:kinsoku/>
        <w:wordWrap/>
        <w:overflowPunct/>
        <w:topLinePunct w:val="0"/>
        <w:autoSpaceDE/>
        <w:autoSpaceDN/>
        <w:bidi w:val="0"/>
        <w:adjustRightInd/>
        <w:snapToGrid/>
        <w:textAlignment w:val="auto"/>
        <w:rPr/>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黎平县黎榕石化有限责任公司西门冲加油站</w:t>
            </w:r>
          </w:p>
          <w:p>
            <w:pPr>
              <w:pStyle w:val="16"/>
              <w:bidi w:val="0"/>
              <w:rPr>
                <w:rFonts w:hint="default"/>
                <w:lang w:val="en-US" w:eastAsia="zh-CN"/>
              </w:rPr>
            </w:pPr>
            <w:r>
              <w:rPr>
                <w:rFonts w:hint="eastAsia"/>
                <w:lang w:val="en-US" w:eastAsia="zh-CN"/>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rPr/>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49" w:type="dxa"/>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pPr>
            <w:r>
              <w:t>姓名</w:t>
            </w:r>
          </w:p>
        </w:tc>
        <w:tc>
          <w:tcPr>
            <w:tcW w:w="3812" w:type="dxa"/>
            <w:tcBorders>
              <w:tl2br w:val="nil"/>
              <w:tr2bl w:val="nil"/>
            </w:tcBorders>
            <w:shd w:val="clear" w:color="auto" w:fill="auto"/>
            <w:vAlign w:val="center"/>
          </w:tcPr>
          <w:p>
            <w:pPr>
              <w:pStyle w:val="16"/>
              <w:bidi w:val="0"/>
              <w:rPr/>
            </w:pPr>
            <w:r>
              <w:t>资格证书号</w:t>
            </w:r>
          </w:p>
        </w:tc>
        <w:tc>
          <w:tcPr>
            <w:tcW w:w="1872" w:type="dxa"/>
            <w:tcBorders>
              <w:tl2br w:val="nil"/>
              <w:tr2bl w:val="nil"/>
            </w:tcBorders>
            <w:shd w:val="clear" w:color="auto" w:fill="auto"/>
            <w:vAlign w:val="center"/>
          </w:tcPr>
          <w:p>
            <w:pPr>
              <w:pStyle w:val="16"/>
              <w:bidi w:val="0"/>
              <w:rPr/>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rPr/>
            </w:pPr>
            <w:r>
              <w:rPr>
                <w:rFonts w:hint="eastAsia"/>
              </w:rPr>
              <w:t>S011053000110201000846</w:t>
            </w:r>
          </w:p>
        </w:tc>
        <w:tc>
          <w:tcPr>
            <w:tcW w:w="1872" w:type="dxa"/>
            <w:tcBorders>
              <w:tl2br w:val="nil"/>
              <w:tr2bl w:val="nil"/>
            </w:tcBorders>
            <w:shd w:val="clear" w:color="auto" w:fill="auto"/>
            <w:vAlign w:val="center"/>
          </w:tcPr>
          <w:p>
            <w:pPr>
              <w:pStyle w:val="16"/>
              <w:bidi w:val="0"/>
              <w:rPr/>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rPr/>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rPr/>
            </w:pPr>
            <w:r>
              <w:rPr>
                <w:rFonts w:hint="eastAsia"/>
              </w:rPr>
              <w:t>1700000000301753</w:t>
            </w:r>
          </w:p>
        </w:tc>
        <w:tc>
          <w:tcPr>
            <w:tcW w:w="1872" w:type="dxa"/>
            <w:tcBorders>
              <w:tl2br w:val="nil"/>
              <w:tr2bl w:val="nil"/>
            </w:tcBorders>
            <w:shd w:val="clear" w:color="auto" w:fill="auto"/>
            <w:vAlign w:val="center"/>
          </w:tcPr>
          <w:p>
            <w:pPr>
              <w:pStyle w:val="16"/>
              <w:bidi w:val="0"/>
              <w:rPr/>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rPr/>
            </w:pPr>
            <w:r>
              <w:rPr>
                <w:rFonts w:hint="eastAsia"/>
              </w:rPr>
              <w:t>1800000000301231</w:t>
            </w:r>
          </w:p>
        </w:tc>
        <w:tc>
          <w:tcPr>
            <w:tcW w:w="1872" w:type="dxa"/>
            <w:tcBorders>
              <w:tl2br w:val="nil"/>
              <w:tr2bl w:val="nil"/>
            </w:tcBorders>
            <w:shd w:val="clear" w:color="auto" w:fill="auto"/>
            <w:vAlign w:val="center"/>
          </w:tcPr>
          <w:p>
            <w:pPr>
              <w:pStyle w:val="16"/>
              <w:bidi w:val="0"/>
              <w:rPr/>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rPr/>
            </w:pPr>
            <w:r>
              <w:rPr>
                <w:rFonts w:hint="eastAsia"/>
              </w:rPr>
              <w:t>S011053000110193002329</w:t>
            </w:r>
          </w:p>
        </w:tc>
        <w:tc>
          <w:tcPr>
            <w:tcW w:w="1872" w:type="dxa"/>
            <w:tcBorders>
              <w:tl2br w:val="nil"/>
              <w:tr2bl w:val="nil"/>
            </w:tcBorders>
            <w:shd w:val="clear" w:color="auto" w:fill="auto"/>
            <w:vAlign w:val="center"/>
          </w:tcPr>
          <w:p>
            <w:pPr>
              <w:pStyle w:val="16"/>
              <w:bidi w:val="0"/>
              <w:rPr/>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rPr/>
            </w:pPr>
            <w:r>
              <w:rPr>
                <w:rFonts w:hint="eastAsia"/>
              </w:rPr>
              <w:t>1700000000301699</w:t>
            </w:r>
          </w:p>
        </w:tc>
        <w:tc>
          <w:tcPr>
            <w:tcW w:w="1872" w:type="dxa"/>
            <w:tcBorders>
              <w:tl2br w:val="nil"/>
              <w:tr2bl w:val="nil"/>
            </w:tcBorders>
            <w:shd w:val="clear" w:color="auto" w:fill="auto"/>
            <w:vAlign w:val="center"/>
          </w:tcPr>
          <w:p>
            <w:pPr>
              <w:pStyle w:val="16"/>
              <w:bidi w:val="0"/>
              <w:rPr/>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49" w:type="dxa"/>
            <w:tcBorders>
              <w:tl2br w:val="nil"/>
              <w:tr2bl w:val="nil"/>
            </w:tcBorders>
            <w:shd w:val="clear" w:color="auto" w:fill="auto"/>
            <w:vAlign w:val="center"/>
          </w:tcPr>
          <w:p>
            <w:pPr>
              <w:pStyle w:val="16"/>
              <w:bidi w:val="0"/>
              <w:rPr/>
            </w:pPr>
            <w:r>
              <w:t>技术专家</w:t>
            </w:r>
          </w:p>
        </w:tc>
        <w:tc>
          <w:tcPr>
            <w:tcW w:w="7480" w:type="dxa"/>
            <w:gridSpan w:val="3"/>
            <w:tcBorders>
              <w:tl2br w:val="nil"/>
              <w:tr2bl w:val="nil"/>
            </w:tcBorders>
            <w:shd w:val="clear" w:color="auto" w:fill="auto"/>
            <w:vAlign w:val="center"/>
          </w:tcPr>
          <w:p>
            <w:pPr>
              <w:pStyle w:val="16"/>
              <w:bidi w:val="0"/>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罗先丹、杨兴 2022.02.17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599" w:hRule="atLeast"/>
          <w:jc w:val="center"/>
        </w:trPr>
        <w:tc>
          <w:tcPr>
            <w:tcW w:w="1749" w:type="dxa"/>
            <w:tcBorders>
              <w:tl2br w:val="nil"/>
              <w:tr2bl w:val="nil"/>
            </w:tcBorders>
            <w:shd w:val="clear" w:color="auto" w:fill="auto"/>
            <w:vAlign w:val="center"/>
          </w:tcPr>
          <w:p>
            <w:pPr>
              <w:pStyle w:val="16"/>
              <w:bidi w:val="0"/>
              <w:rPr/>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黎平县黎榕石化有限责任公司西门冲加油站位于黎平县德凤镇西门冲寨门外200米，经济类型为有限责任公司分公司，法定代表人：吴宗有，加油站加油区设置4台双枪潜油泵加油机，油罐区为防渗罐池，设置30m³的钢制单层汽油储罐2个（其中92#汽油储罐1个，95#汽油储罐1个），50m³的钢制单层0#柴油储罐2个，总容积为110m³（柴油容积折半计入总容积），加油站等级为二级加油站。</w:t>
            </w:r>
          </w:p>
          <w:p>
            <w:pPr>
              <w:pStyle w:val="16"/>
              <w:bidi w:val="0"/>
              <w:rPr>
                <w:rFonts w:hint="eastAsia"/>
                <w:lang w:eastAsia="zh-CN"/>
              </w:rPr>
            </w:pPr>
            <w:r>
              <w:rPr>
                <w:rFonts w:hint="eastAsia"/>
                <w:lang w:eastAsia="zh-CN"/>
              </w:rPr>
              <w:t>评价结论：黎平县黎榕石化有限责任公司西门冲加油站符合安全要求，具备</w:t>
            </w:r>
            <w:r>
              <w:rPr>
                <w:rFonts w:hint="eastAsia"/>
                <w:lang w:val="en-US" w:eastAsia="zh-CN"/>
              </w:rPr>
              <w:t>加油站</w:t>
            </w:r>
            <w:r>
              <w:rPr>
                <w:rFonts w:hint="eastAsia"/>
                <w:lang w:eastAsia="zh-CN"/>
              </w:rPr>
              <w:t>安全经营条件。</w:t>
            </w:r>
          </w:p>
          <w:p>
            <w:pPr>
              <w:pStyle w:val="16"/>
              <w:bidi w:val="0"/>
              <w:rPr/>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49" w:type="dxa"/>
            <w:tcBorders>
              <w:tl2br w:val="nil"/>
              <w:tr2bl w:val="nil"/>
            </w:tcBorders>
            <w:shd w:val="clear" w:color="auto" w:fill="auto"/>
            <w:vAlign w:val="center"/>
          </w:tcPr>
          <w:p>
            <w:pPr>
              <w:pStyle w:val="16"/>
              <w:bidi w:val="0"/>
              <w:rPr/>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2941955" cy="2207260"/>
                  <wp:effectExtent l="0" t="0" r="10795" b="2540"/>
                  <wp:docPr id="1" name="图片 1" descr="加油站全景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加油站全景照片"/>
                          <pic:cNvPicPr>
                            <a:picLocks noChangeAspect="1"/>
                          </pic:cNvPicPr>
                        </pic:nvPicPr>
                        <pic:blipFill>
                          <a:blip r:embed="rId8"/>
                          <a:stretch>
                            <a:fillRect/>
                          </a:stretch>
                        </pic:blipFill>
                        <pic:spPr>
                          <a:xfrm>
                            <a:off x="0" y="0"/>
                            <a:ext cx="2941955" cy="2207260"/>
                          </a:xfrm>
                          <a:prstGeom prst="rect">
                            <a:avLst/>
                          </a:prstGeom>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2918460" cy="2188845"/>
                  <wp:effectExtent l="0" t="0" r="15240" b="1905"/>
                  <wp:docPr id="2" name="图片 2" descr="储罐区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储罐区照片"/>
                          <pic:cNvPicPr>
                            <a:picLocks noChangeAspect="1"/>
                          </pic:cNvPicPr>
                        </pic:nvPicPr>
                        <pic:blipFill>
                          <a:blip r:embed="rId9"/>
                          <a:stretch>
                            <a:fillRect/>
                          </a:stretch>
                        </pic:blipFill>
                        <pic:spPr>
                          <a:xfrm>
                            <a:off x="0" y="0"/>
                            <a:ext cx="2918460" cy="2188845"/>
                          </a:xfrm>
                          <a:prstGeom prst="rect">
                            <a:avLst/>
                          </a:prstGeom>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2935605" cy="2201545"/>
                  <wp:effectExtent l="0" t="0" r="17145" b="8255"/>
                  <wp:docPr id="3" name="图片 3" descr="加油区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加油区照片"/>
                          <pic:cNvPicPr>
                            <a:picLocks noChangeAspect="1"/>
                          </pic:cNvPicPr>
                        </pic:nvPicPr>
                        <pic:blipFill>
                          <a:blip r:embed="rId10"/>
                          <a:stretch>
                            <a:fillRect/>
                          </a:stretch>
                        </pic:blipFill>
                        <pic:spPr>
                          <a:xfrm>
                            <a:off x="0" y="0"/>
                            <a:ext cx="2935605" cy="2201545"/>
                          </a:xfrm>
                          <a:prstGeom prst="rect">
                            <a:avLst/>
                          </a:prstGeom>
                        </pic:spPr>
                      </pic:pic>
                    </a:graphicData>
                  </a:graphic>
                </wp:inline>
              </w:drawing>
            </w: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被评价单位信息反馈情况</w:t>
            </w:r>
          </w:p>
        </w:tc>
        <w:tc>
          <w:tcPr>
            <w:tcW w:w="7480" w:type="dxa"/>
            <w:gridSpan w:val="3"/>
            <w:tcBorders>
              <w:tl2br w:val="nil"/>
              <w:tr2bl w:val="nil"/>
            </w:tcBorders>
            <w:shd w:val="clear" w:color="auto" w:fill="auto"/>
            <w:vAlign w:val="center"/>
          </w:tcPr>
          <w:p>
            <w:pPr>
              <w:pStyle w:val="16"/>
              <w:bidi w:val="0"/>
              <w:rPr/>
            </w:pPr>
            <w:r>
              <w:t>满意</w:t>
            </w:r>
          </w:p>
        </w:tc>
      </w:tr>
    </w:tbl>
    <w:p>
      <w:pPr>
        <w:keepNext w:val="0"/>
        <w:keepLines w:val="0"/>
        <w:pageBreakBefore/>
        <w:widowControl w:val="0"/>
        <w:kinsoku/>
        <w:wordWrap/>
        <w:overflowPunct/>
        <w:topLinePunct w:val="0"/>
        <w:autoSpaceDE/>
        <w:autoSpaceDN/>
        <w:bidi w:val="0"/>
        <w:adjustRightInd/>
        <w:snapToGrid/>
        <w:textAlignment w:val="auto"/>
        <w:rPr/>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bookmarkStart w:id="3" w:name="_GoBack"/>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大方永达气体销售有限公司</w:t>
            </w:r>
          </w:p>
          <w:p>
            <w:pPr>
              <w:pStyle w:val="16"/>
              <w:bidi w:val="0"/>
              <w:rPr>
                <w:rFonts w:hint="default"/>
                <w:lang w:val="en-US" w:eastAsia="zh-CN"/>
              </w:rPr>
            </w:pPr>
            <w:r>
              <w:rPr>
                <w:rFonts w:hint="eastAsia"/>
                <w:lang w:val="en-US" w:eastAsia="zh-CN"/>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rPr/>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pPr>
            <w:r>
              <w:t>姓名</w:t>
            </w:r>
          </w:p>
        </w:tc>
        <w:tc>
          <w:tcPr>
            <w:tcW w:w="3812" w:type="dxa"/>
            <w:tcBorders>
              <w:tl2br w:val="nil"/>
              <w:tr2bl w:val="nil"/>
            </w:tcBorders>
            <w:shd w:val="clear" w:color="auto" w:fill="auto"/>
            <w:vAlign w:val="center"/>
          </w:tcPr>
          <w:p>
            <w:pPr>
              <w:pStyle w:val="16"/>
              <w:bidi w:val="0"/>
              <w:rPr/>
            </w:pPr>
            <w:r>
              <w:t>资格证书号</w:t>
            </w:r>
          </w:p>
        </w:tc>
        <w:tc>
          <w:tcPr>
            <w:tcW w:w="1872" w:type="dxa"/>
            <w:tcBorders>
              <w:tl2br w:val="nil"/>
              <w:tr2bl w:val="nil"/>
            </w:tcBorders>
            <w:shd w:val="clear" w:color="auto" w:fill="auto"/>
            <w:vAlign w:val="center"/>
          </w:tcPr>
          <w:p>
            <w:pPr>
              <w:pStyle w:val="16"/>
              <w:bidi w:val="0"/>
              <w:rPr/>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rPr/>
            </w:pPr>
            <w:r>
              <w:rPr>
                <w:rFonts w:hint="eastAsia"/>
              </w:rPr>
              <w:t>S011053000110201000846</w:t>
            </w:r>
          </w:p>
        </w:tc>
        <w:tc>
          <w:tcPr>
            <w:tcW w:w="1872" w:type="dxa"/>
            <w:tcBorders>
              <w:tl2br w:val="nil"/>
              <w:tr2bl w:val="nil"/>
            </w:tcBorders>
            <w:shd w:val="clear" w:color="auto" w:fill="auto"/>
            <w:vAlign w:val="center"/>
          </w:tcPr>
          <w:p>
            <w:pPr>
              <w:pStyle w:val="16"/>
              <w:bidi w:val="0"/>
              <w:rPr/>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rPr/>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rPr/>
            </w:pPr>
            <w:r>
              <w:rPr>
                <w:rFonts w:hint="eastAsia"/>
              </w:rPr>
              <w:t>1700000000301753</w:t>
            </w:r>
          </w:p>
        </w:tc>
        <w:tc>
          <w:tcPr>
            <w:tcW w:w="1872" w:type="dxa"/>
            <w:tcBorders>
              <w:tl2br w:val="nil"/>
              <w:tr2bl w:val="nil"/>
            </w:tcBorders>
            <w:shd w:val="clear" w:color="auto" w:fill="auto"/>
            <w:vAlign w:val="center"/>
          </w:tcPr>
          <w:p>
            <w:pPr>
              <w:pStyle w:val="16"/>
              <w:bidi w:val="0"/>
              <w:rPr/>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rPr/>
            </w:pPr>
            <w:r>
              <w:rPr>
                <w:rFonts w:hint="eastAsia"/>
              </w:rPr>
              <w:t>1800000000301231</w:t>
            </w:r>
          </w:p>
        </w:tc>
        <w:tc>
          <w:tcPr>
            <w:tcW w:w="1872" w:type="dxa"/>
            <w:tcBorders>
              <w:tl2br w:val="nil"/>
              <w:tr2bl w:val="nil"/>
            </w:tcBorders>
            <w:shd w:val="clear" w:color="auto" w:fill="auto"/>
            <w:vAlign w:val="center"/>
          </w:tcPr>
          <w:p>
            <w:pPr>
              <w:pStyle w:val="16"/>
              <w:bidi w:val="0"/>
              <w:rPr/>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rPr/>
            </w:pPr>
            <w:r>
              <w:rPr>
                <w:rFonts w:hint="eastAsia"/>
              </w:rPr>
              <w:t>S011053000110193002329</w:t>
            </w:r>
          </w:p>
        </w:tc>
        <w:tc>
          <w:tcPr>
            <w:tcW w:w="1872" w:type="dxa"/>
            <w:tcBorders>
              <w:tl2br w:val="nil"/>
              <w:tr2bl w:val="nil"/>
            </w:tcBorders>
            <w:shd w:val="clear" w:color="auto" w:fill="auto"/>
            <w:vAlign w:val="center"/>
          </w:tcPr>
          <w:p>
            <w:pPr>
              <w:pStyle w:val="16"/>
              <w:bidi w:val="0"/>
              <w:rPr/>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rPr/>
            </w:pPr>
            <w:r>
              <w:rPr>
                <w:rFonts w:hint="eastAsia"/>
              </w:rPr>
              <w:t>1700000000301699</w:t>
            </w:r>
          </w:p>
        </w:tc>
        <w:tc>
          <w:tcPr>
            <w:tcW w:w="1872" w:type="dxa"/>
            <w:tcBorders>
              <w:tl2br w:val="nil"/>
              <w:tr2bl w:val="nil"/>
            </w:tcBorders>
            <w:shd w:val="clear" w:color="auto" w:fill="auto"/>
            <w:vAlign w:val="center"/>
          </w:tcPr>
          <w:p>
            <w:pPr>
              <w:pStyle w:val="16"/>
              <w:bidi w:val="0"/>
              <w:rPr/>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rPr/>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技术专家</w:t>
            </w:r>
          </w:p>
        </w:tc>
        <w:tc>
          <w:tcPr>
            <w:tcW w:w="7480" w:type="dxa"/>
            <w:gridSpan w:val="3"/>
            <w:tcBorders>
              <w:tl2br w:val="nil"/>
              <w:tr2bl w:val="nil"/>
            </w:tcBorders>
            <w:shd w:val="clear" w:color="auto" w:fill="auto"/>
            <w:vAlign w:val="center"/>
          </w:tcPr>
          <w:p>
            <w:pPr>
              <w:pStyle w:val="16"/>
              <w:bidi w:val="0"/>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罗先丹、湛超 2021.12.14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9" w:hRule="atLeast"/>
          <w:jc w:val="center"/>
        </w:trPr>
        <w:tc>
          <w:tcPr>
            <w:tcW w:w="1749" w:type="dxa"/>
            <w:tcBorders>
              <w:tl2br w:val="nil"/>
              <w:tr2bl w:val="nil"/>
            </w:tcBorders>
            <w:shd w:val="clear" w:color="auto" w:fill="auto"/>
            <w:vAlign w:val="center"/>
          </w:tcPr>
          <w:p>
            <w:pPr>
              <w:pStyle w:val="16"/>
              <w:bidi w:val="0"/>
              <w:rPr/>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大方永达气体销售有限公司位于贵州省毕节市大方县顺德街道办事处白石村，法定代表人：胡天文。该经营部经营氧气、乙炔、氮气、氩气及二氧化碳工业气体，经营方式为零售经营。企业于2018年11月15日取得大方县原安全生产监督管理局核发的危险化学品经营许可证，有效期为三年，现危险化学品经营许可证已过期，自危险化学品经营许可证到期至今该经营部处于停业状态。</w:t>
            </w:r>
          </w:p>
          <w:p>
            <w:pPr>
              <w:pStyle w:val="16"/>
              <w:bidi w:val="0"/>
              <w:rPr>
                <w:rFonts w:hint="eastAsia"/>
                <w:lang w:eastAsia="zh-CN"/>
              </w:rPr>
            </w:pPr>
            <w:r>
              <w:rPr>
                <w:rFonts w:hint="eastAsia"/>
                <w:lang w:eastAsia="zh-CN"/>
              </w:rPr>
              <w:t>所有气体采用容器为40L气瓶储存，其中氧气实瓶的最大储存量为50瓶，乙炔实瓶的最大储存量为40瓶，二氧化碳、氩气实瓶的最大储存量均为10瓶，氮气实瓶的最大储存量为20瓶。</w:t>
            </w:r>
          </w:p>
          <w:p>
            <w:pPr>
              <w:pStyle w:val="16"/>
              <w:bidi w:val="0"/>
              <w:rPr>
                <w:rFonts w:hint="eastAsia"/>
                <w:lang w:eastAsia="zh-CN"/>
              </w:rPr>
            </w:pPr>
            <w:r>
              <w:rPr>
                <w:rFonts w:hint="eastAsia"/>
                <w:lang w:eastAsia="zh-CN"/>
              </w:rPr>
              <w:t>评价结论：大方永达气体销售有限公司符合安全要求，具备</w:t>
            </w:r>
            <w:r>
              <w:rPr>
                <w:rFonts w:hint="eastAsia"/>
                <w:lang w:val="en-US" w:eastAsia="zh-CN"/>
              </w:rPr>
              <w:t>加油站</w:t>
            </w:r>
            <w:r>
              <w:rPr>
                <w:rFonts w:hint="eastAsia"/>
                <w:lang w:eastAsia="zh-CN"/>
              </w:rPr>
              <w:t>安全经营条件。</w:t>
            </w:r>
          </w:p>
          <w:p>
            <w:pPr>
              <w:pStyle w:val="16"/>
              <w:bidi w:val="0"/>
              <w:rPr/>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2891790" cy="2169160"/>
                  <wp:effectExtent l="0" t="0" r="3810" b="2540"/>
                  <wp:docPr id="4" name="图片 4" descr="人员现场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人员现场照片"/>
                          <pic:cNvPicPr>
                            <a:picLocks noChangeAspect="1"/>
                          </pic:cNvPicPr>
                        </pic:nvPicPr>
                        <pic:blipFill>
                          <a:blip r:embed="rId11"/>
                          <a:stretch>
                            <a:fillRect/>
                          </a:stretch>
                        </pic:blipFill>
                        <pic:spPr>
                          <a:xfrm>
                            <a:off x="0" y="0"/>
                            <a:ext cx="2891790" cy="2169160"/>
                          </a:xfrm>
                          <a:prstGeom prst="rect">
                            <a:avLst/>
                          </a:prstGeom>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3081655" cy="2311400"/>
                  <wp:effectExtent l="0" t="0" r="4445" b="12700"/>
                  <wp:docPr id="5" name="图片 5" descr="经营部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经营部全景"/>
                          <pic:cNvPicPr>
                            <a:picLocks noChangeAspect="1"/>
                          </pic:cNvPicPr>
                        </pic:nvPicPr>
                        <pic:blipFill>
                          <a:blip r:embed="rId12"/>
                          <a:stretch>
                            <a:fillRect/>
                          </a:stretch>
                        </pic:blipFill>
                        <pic:spPr>
                          <a:xfrm>
                            <a:off x="0" y="0"/>
                            <a:ext cx="3081655" cy="2311400"/>
                          </a:xfrm>
                          <a:prstGeom prst="rect">
                            <a:avLst/>
                          </a:prstGeom>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3484880" cy="1610360"/>
                  <wp:effectExtent l="0" t="0" r="1270" b="8890"/>
                  <wp:docPr id="6" name="图片 6" descr="经营部值班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经营部值班室"/>
                          <pic:cNvPicPr>
                            <a:picLocks noChangeAspect="1"/>
                          </pic:cNvPicPr>
                        </pic:nvPicPr>
                        <pic:blipFill>
                          <a:blip r:embed="rId13"/>
                          <a:stretch>
                            <a:fillRect/>
                          </a:stretch>
                        </pic:blipFill>
                        <pic:spPr>
                          <a:xfrm>
                            <a:off x="0" y="0"/>
                            <a:ext cx="3484880" cy="1610360"/>
                          </a:xfrm>
                          <a:prstGeom prst="rect">
                            <a:avLst/>
                          </a:prstGeom>
                        </pic:spPr>
                      </pic:pic>
                    </a:graphicData>
                  </a:graphic>
                </wp:inline>
              </w:drawing>
            </w: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pPr>
            <w:r>
              <w:t>被评价单位信息反馈情况</w:t>
            </w:r>
          </w:p>
        </w:tc>
        <w:tc>
          <w:tcPr>
            <w:tcW w:w="7480" w:type="dxa"/>
            <w:gridSpan w:val="3"/>
            <w:tcBorders>
              <w:tl2br w:val="nil"/>
              <w:tr2bl w:val="nil"/>
            </w:tcBorders>
            <w:shd w:val="clear" w:color="auto" w:fill="auto"/>
            <w:vAlign w:val="center"/>
          </w:tcPr>
          <w:p>
            <w:pPr>
              <w:pStyle w:val="16"/>
              <w:bidi w:val="0"/>
              <w:rPr/>
            </w:pPr>
            <w:r>
              <w:t>满意</w:t>
            </w:r>
          </w:p>
        </w:tc>
      </w:tr>
      <w:bookmarkEnd w:id="3"/>
    </w:tbl>
    <w:p>
      <w:pPr>
        <w:rPr/>
      </w:pPr>
    </w:p>
    <w:p>
      <w:pPr>
        <w:rPr/>
      </w:pPr>
    </w:p>
    <w:p>
      <w:pPr>
        <w:rPr/>
      </w:pPr>
    </w:p>
    <w:p/>
    <w:sectPr>
      <w:footerReference r:id="rId3" w:type="default"/>
      <w:pgSz w:w="11906" w:h="16838"/>
      <w:pgMar w:top="1417" w:right="1134" w:bottom="1134" w:left="1134"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E3751A"/>
    <w:rsid w:val="00047227"/>
    <w:rsid w:val="00303C12"/>
    <w:rsid w:val="004D1AF7"/>
    <w:rsid w:val="00756850"/>
    <w:rsid w:val="00C75118"/>
    <w:rsid w:val="00C82162"/>
    <w:rsid w:val="00E3751A"/>
    <w:rsid w:val="01381A2C"/>
    <w:rsid w:val="067C6F0E"/>
    <w:rsid w:val="06EF6353"/>
    <w:rsid w:val="07D32EB9"/>
    <w:rsid w:val="0A3600A6"/>
    <w:rsid w:val="17810296"/>
    <w:rsid w:val="17C601C4"/>
    <w:rsid w:val="188D103C"/>
    <w:rsid w:val="18CA2EBE"/>
    <w:rsid w:val="1CD17A8D"/>
    <w:rsid w:val="23356346"/>
    <w:rsid w:val="276E1EEA"/>
    <w:rsid w:val="29925FE1"/>
    <w:rsid w:val="2E046C06"/>
    <w:rsid w:val="3C7D28D5"/>
    <w:rsid w:val="4E3D5914"/>
    <w:rsid w:val="52E07D49"/>
    <w:rsid w:val="54345BD2"/>
    <w:rsid w:val="57800B40"/>
    <w:rsid w:val="60B460AF"/>
    <w:rsid w:val="658063A7"/>
    <w:rsid w:val="66C53C4A"/>
    <w:rsid w:val="67600A2D"/>
    <w:rsid w:val="6AA57F27"/>
    <w:rsid w:val="6D1139EB"/>
    <w:rsid w:val="6F3D1DEF"/>
    <w:rsid w:val="737D1DEA"/>
    <w:rsid w:val="75816D2C"/>
    <w:rsid w:val="76E25EB6"/>
    <w:rsid w:val="77832F9B"/>
    <w:rsid w:val="79302291"/>
    <w:rsid w:val="7AD10B53"/>
    <w:rsid w:val="7C304A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pageBreakBefore w:val="0"/>
      <w:widowControl w:val="0"/>
      <w:jc w:val="center"/>
    </w:pPr>
    <w:rPr>
      <w:rFonts w:ascii="Calibri" w:hAnsi="Calibri" w:eastAsia="宋体" w:cs="Times New Roman"/>
      <w:kern w:val="2"/>
      <w:sz w:val="28"/>
      <w:szCs w:val="24"/>
      <w:lang w:val="en-US" w:eastAsia="zh-CN" w:bidi="ar-SA"/>
    </w:rPr>
  </w:style>
  <w:style w:type="paragraph" w:styleId="4">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5">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firstLineChars="200"/>
    </w:pPr>
  </w:style>
  <w:style w:type="paragraph" w:styleId="3">
    <w:name w:val="Body Text Indent"/>
    <w:basedOn w:val="1"/>
    <w:unhideWhenUsed/>
    <w:qFormat/>
    <w:uiPriority w:val="99"/>
    <w:pPr>
      <w:spacing w:after="120"/>
      <w:ind w:left="420" w:leftChars="200"/>
    </w:pPr>
  </w:style>
  <w:style w:type="paragraph" w:styleId="6">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qFormat/>
    <w:uiPriority w:val="99"/>
    <w:rPr>
      <w:sz w:val="28"/>
      <w:szCs w:val="28"/>
    </w:rPr>
  </w:style>
  <w:style w:type="paragraph" w:styleId="8">
    <w:name w:val="Balloon Text"/>
    <w:basedOn w:val="1"/>
    <w:link w:val="21"/>
    <w:qFormat/>
    <w:uiPriority w:val="0"/>
    <w:rPr>
      <w:sz w:val="18"/>
      <w:szCs w:val="18"/>
    </w:rPr>
  </w:style>
  <w:style w:type="paragraph" w:styleId="9">
    <w:name w:val="footer"/>
    <w:basedOn w:val="1"/>
    <w:next w:val="10"/>
    <w:qFormat/>
    <w:uiPriority w:val="99"/>
    <w:pPr>
      <w:tabs>
        <w:tab w:val="center" w:pos="4153"/>
        <w:tab w:val="right" w:pos="8306"/>
      </w:tabs>
      <w:snapToGrid w:val="0"/>
    </w:pPr>
    <w:rPr>
      <w:sz w:val="18"/>
      <w:szCs w:val="18"/>
    </w:rPr>
  </w:style>
  <w:style w:type="paragraph" w:styleId="10">
    <w:name w:val="Normal (Web)"/>
    <w:basedOn w:val="1"/>
    <w:next w:val="11"/>
    <w:qFormat/>
    <w:uiPriority w:val="0"/>
    <w:pPr>
      <w:spacing w:before="100" w:beforeAutospacing="1" w:after="100" w:afterAutospacing="1"/>
      <w:jc w:val="left"/>
    </w:pPr>
    <w:rPr>
      <w:kern w:val="0"/>
      <w:sz w:val="24"/>
    </w:rPr>
  </w:style>
  <w:style w:type="paragraph" w:customStyle="1" w:styleId="11">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First Indent"/>
    <w:basedOn w:val="7"/>
    <w:qFormat/>
    <w:uiPriority w:val="0"/>
    <w:pPr>
      <w:spacing w:after="120"/>
      <w:ind w:firstLine="420" w:firstLineChars="100"/>
    </w:pPr>
  </w:style>
  <w:style w:type="paragraph" w:customStyle="1" w:styleId="16">
    <w:name w:val="表格"/>
    <w:basedOn w:val="1"/>
    <w:next w:val="1"/>
    <w:qFormat/>
    <w:uiPriority w:val="0"/>
    <w:pPr>
      <w:adjustRightInd w:val="0"/>
      <w:snapToGrid w:val="0"/>
      <w:spacing w:line="240" w:lineRule="auto"/>
      <w:ind w:firstLine="0" w:firstLineChars="0"/>
      <w:jc w:val="both"/>
      <w:textAlignment w:val="baseline"/>
    </w:pPr>
    <w:rPr>
      <w:rFonts w:ascii="宋体" w:hAnsi="宋体"/>
      <w:kern w:val="0"/>
      <w:sz w:val="24"/>
      <w:szCs w:val="20"/>
    </w:rPr>
  </w:style>
  <w:style w:type="paragraph" w:customStyle="1" w:styleId="17">
    <w:name w:val="Default"/>
    <w:next w:val="1"/>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18">
    <w:name w:val="样式 标题 2"/>
    <w:basedOn w:val="5"/>
    <w:qFormat/>
    <w:uiPriority w:val="0"/>
    <w:pPr>
      <w:spacing w:beforeLines="0" w:afterLines="0"/>
    </w:pPr>
    <w:rPr>
      <w:rFonts w:ascii="Arial" w:hAnsi="Arial" w:eastAsia="宋体" w:cs="宋体"/>
      <w:snapToGrid/>
      <w:kern w:val="2"/>
      <w:szCs w:val="32"/>
      <w:lang w:val="zh-CN"/>
    </w:rPr>
  </w:style>
  <w:style w:type="paragraph" w:customStyle="1" w:styleId="19">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 w:type="character" w:customStyle="1" w:styleId="21">
    <w:name w:val="批注框文本 Char"/>
    <w:basedOn w:val="15"/>
    <w:link w:val="8"/>
    <w:qFormat/>
    <w:uiPriority w:val="0"/>
    <w:rPr>
      <w:rFonts w:ascii="Calibri" w:hAnsi="Calibri"/>
      <w:kern w:val="2"/>
      <w:sz w:val="18"/>
      <w:szCs w:val="18"/>
    </w:rPr>
  </w:style>
  <w:style w:type="paragraph" w:customStyle="1" w:styleId="22">
    <w:name w:val="111"/>
    <w:basedOn w:val="1"/>
    <w:qFormat/>
    <w:uiPriority w:val="99"/>
    <w:pPr>
      <w:widowControl/>
      <w:tabs>
        <w:tab w:val="left" w:pos="0"/>
      </w:tabs>
      <w:spacing w:before="100" w:beforeLines="0" w:beforeAutospacing="1" w:after="100" w:afterLines="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32</Pages>
  <Words>7111</Words>
  <Characters>10253</Characters>
  <Lines>7</Lines>
  <Paragraphs>2</Paragraphs>
  <TotalTime>0</TotalTime>
  <ScaleCrop>false</ScaleCrop>
  <LinksUpToDate>false</LinksUpToDate>
  <CharactersWithSpaces>10270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pc</cp:lastModifiedBy>
  <dcterms:modified xsi:type="dcterms:W3CDTF">2022-04-05T10:49:42Z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3D417A7DA0144CEDA15801581E78EFE2</vt:lpwstr>
  </property>
</Properties>
</file>