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8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利辛县平运加油站有限公司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利辛县平运加油站有限公司新建项目安全技术意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华文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常文亮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华文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S011032000110192001476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华文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028360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王江美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1200000000200516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022756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秦雪松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0800000000102134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001539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段永刚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1100000000303324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021772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吕德峰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1100000000201213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017616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现场勘察人员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常文亮、王江美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现场勘察人员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常文亮、王江美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利辛县平运加油站有限公司新建项目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/>
                <w:sz w:val="24"/>
                <w:szCs w:val="24"/>
                <w:lang w:eastAsia="zh-CN"/>
              </w:rPr>
              <w:t>安徽省亳州市利辛县江集镇纪伦寨村利楚路东侧。加油站新设储油罐3只（其中：30m</w:t>
            </w:r>
            <w:r>
              <w:rPr>
                <w:rFonts w:hint="eastAsia"/>
                <w:sz w:val="24"/>
                <w:szCs w:val="24"/>
                <w:vertAlign w:val="superscript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柴油罐2只，30m</w:t>
            </w:r>
            <w:r>
              <w:rPr>
                <w:rFonts w:hint="eastAsia"/>
                <w:sz w:val="24"/>
                <w:szCs w:val="24"/>
                <w:vertAlign w:val="superscript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汽油罐1只），总容积90m</w:t>
            </w:r>
            <w:r>
              <w:rPr>
                <w:rFonts w:hint="eastAsia"/>
                <w:sz w:val="24"/>
                <w:szCs w:val="24"/>
                <w:vertAlign w:val="superscript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，折算后的有效容积60m</w:t>
            </w:r>
            <w:r>
              <w:rPr>
                <w:rFonts w:hint="eastAsia"/>
                <w:sz w:val="24"/>
                <w:szCs w:val="24"/>
                <w:vertAlign w:val="superscript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。新建罩棚一座，设有加油机2台，成单排布置。新建站房、配电室等建构筑物及附属设施。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99965" cy="5391150"/>
            <wp:effectExtent l="0" t="0" r="0" b="0"/>
            <wp:docPr id="3" name="图片 3" descr="现场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现场图片1"/>
                    <pic:cNvPicPr>
                      <a:picLocks noChangeAspect="1"/>
                    </pic:cNvPicPr>
                  </pic:nvPicPr>
                  <pic:blipFill>
                    <a:blip r:embed="rId4"/>
                    <a:srcRect t="6776" b="8989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5" name="图片 5" descr="现场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现场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9C1F93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6EF6353"/>
    <w:rsid w:val="07D32EB9"/>
    <w:rsid w:val="07E46E00"/>
    <w:rsid w:val="08300409"/>
    <w:rsid w:val="08302FF8"/>
    <w:rsid w:val="08ED0200"/>
    <w:rsid w:val="096769A3"/>
    <w:rsid w:val="096F1B10"/>
    <w:rsid w:val="0A0E1339"/>
    <w:rsid w:val="0BC750FD"/>
    <w:rsid w:val="0D073DB5"/>
    <w:rsid w:val="0D081033"/>
    <w:rsid w:val="0F1C6141"/>
    <w:rsid w:val="10806817"/>
    <w:rsid w:val="10AE1BD9"/>
    <w:rsid w:val="12551933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AC2BD1"/>
    <w:rsid w:val="214C4107"/>
    <w:rsid w:val="21A13C43"/>
    <w:rsid w:val="21A34113"/>
    <w:rsid w:val="2282270A"/>
    <w:rsid w:val="23532900"/>
    <w:rsid w:val="23B37411"/>
    <w:rsid w:val="242E50EF"/>
    <w:rsid w:val="24775815"/>
    <w:rsid w:val="2650413E"/>
    <w:rsid w:val="271635D9"/>
    <w:rsid w:val="27280E94"/>
    <w:rsid w:val="27F61196"/>
    <w:rsid w:val="297A3C20"/>
    <w:rsid w:val="29925FE1"/>
    <w:rsid w:val="29C972C6"/>
    <w:rsid w:val="2BD9110B"/>
    <w:rsid w:val="2DE97352"/>
    <w:rsid w:val="2EAE6403"/>
    <w:rsid w:val="333B4714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46743F"/>
    <w:rsid w:val="45A13141"/>
    <w:rsid w:val="46966FC2"/>
    <w:rsid w:val="47EE36B2"/>
    <w:rsid w:val="48AF6D87"/>
    <w:rsid w:val="49CE6C17"/>
    <w:rsid w:val="4A431964"/>
    <w:rsid w:val="4CDE060B"/>
    <w:rsid w:val="4E3D5914"/>
    <w:rsid w:val="512F0C70"/>
    <w:rsid w:val="515A3854"/>
    <w:rsid w:val="52CC47C0"/>
    <w:rsid w:val="52E07D49"/>
    <w:rsid w:val="5374510A"/>
    <w:rsid w:val="563D2137"/>
    <w:rsid w:val="57301D47"/>
    <w:rsid w:val="57487036"/>
    <w:rsid w:val="57800B40"/>
    <w:rsid w:val="57CD2DFE"/>
    <w:rsid w:val="58244FE5"/>
    <w:rsid w:val="584B13F6"/>
    <w:rsid w:val="59D926D2"/>
    <w:rsid w:val="5AA52A54"/>
    <w:rsid w:val="5B9A34D7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BF40694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4DA48CB"/>
    <w:rsid w:val="770403EE"/>
    <w:rsid w:val="771E190D"/>
    <w:rsid w:val="77832F9B"/>
    <w:rsid w:val="784004D1"/>
    <w:rsid w:val="78725E9B"/>
    <w:rsid w:val="79302291"/>
    <w:rsid w:val="7B424553"/>
    <w:rsid w:val="7BB96559"/>
    <w:rsid w:val="7C304A31"/>
    <w:rsid w:val="7D9B14E2"/>
    <w:rsid w:val="7DB761A8"/>
    <w:rsid w:val="7FC8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7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  <w:sz w:val="24"/>
    </w:rPr>
  </w:style>
  <w:style w:type="paragraph" w:styleId="5">
    <w:name w:val="Body Text"/>
    <w:basedOn w:val="1"/>
    <w:qFormat/>
    <w:uiPriority w:val="99"/>
    <w:rPr>
      <w:sz w:val="28"/>
      <w:szCs w:val="28"/>
    </w:rPr>
  </w:style>
  <w:style w:type="paragraph" w:styleId="8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ody Text Indent 2"/>
    <w:basedOn w:val="1"/>
    <w:semiHidden/>
    <w:qFormat/>
    <w:uiPriority w:val="0"/>
    <w:pPr>
      <w:spacing w:after="120" w:line="480" w:lineRule="auto"/>
      <w:ind w:left="420" w:leftChars="200" w:firstLine="200" w:firstLineChars="200"/>
    </w:pPr>
    <w:rPr>
      <w:sz w:val="24"/>
    </w:rPr>
  </w:style>
  <w:style w:type="paragraph" w:styleId="11">
    <w:name w:val="Balloon Text"/>
    <w:basedOn w:val="1"/>
    <w:link w:val="26"/>
    <w:qFormat/>
    <w:uiPriority w:val="0"/>
    <w:rPr>
      <w:sz w:val="18"/>
      <w:szCs w:val="18"/>
    </w:rPr>
  </w:style>
  <w:style w:type="paragraph" w:styleId="12">
    <w:name w:val="footer"/>
    <w:basedOn w:val="1"/>
    <w:next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Normal (Web)"/>
    <w:basedOn w:val="1"/>
    <w:next w:val="14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4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2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7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9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319</Words>
  <Characters>450</Characters>
  <Lines>74</Lines>
  <Paragraphs>21</Paragraphs>
  <TotalTime>0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2023-09-04T11:22:41Z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CF5CE977BA2449E6B7BBBD26B9873D67_13</vt:lpwstr>
  </property>
</Properties>
</file>