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威宁县猴场俊峰加油站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完成时间</w:t>
            </w:r>
          </w:p>
        </w:tc>
        <w:tc>
          <w:tcPr>
            <w:tcW w:w="7480"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pPr>
            <w:r>
              <w:t>姓名</w:t>
            </w:r>
          </w:p>
        </w:tc>
        <w:tc>
          <w:tcPr>
            <w:tcW w:w="3812" w:type="dxa"/>
            <w:tcBorders>
              <w:tl2br w:val="nil"/>
              <w:tr2bl w:val="nil"/>
            </w:tcBorders>
            <w:shd w:val="clear" w:color="auto" w:fill="auto"/>
            <w:vAlign w:val="center"/>
          </w:tcPr>
          <w:p>
            <w:pPr>
              <w:pStyle w:val="22"/>
              <w:bidi w:val="0"/>
            </w:pPr>
            <w:r>
              <w:t>资格证书号</w:t>
            </w:r>
          </w:p>
        </w:tc>
        <w:tc>
          <w:tcPr>
            <w:tcW w:w="1872"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2"/>
              <w:bidi w:val="0"/>
            </w:pPr>
            <w:r>
              <w:t>项目负责人</w:t>
            </w: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72"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2"/>
              <w:bidi w:val="0"/>
            </w:pPr>
            <w:r>
              <w:t>项目组成员</w:t>
            </w: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2"/>
              <w:bidi w:val="0"/>
              <w:ind w:firstLine="0" w:firstLineChars="0"/>
            </w:pPr>
            <w:r>
              <w:rPr>
                <w:rFonts w:hint="eastAsia"/>
              </w:rPr>
              <w:t>1700000000301753</w:t>
            </w:r>
          </w:p>
        </w:tc>
        <w:tc>
          <w:tcPr>
            <w:tcW w:w="1872" w:type="dxa"/>
            <w:tcBorders>
              <w:tl2br w:val="nil"/>
              <w:tr2bl w:val="nil"/>
            </w:tcBorders>
            <w:shd w:val="clear" w:color="auto" w:fill="auto"/>
            <w:vAlign w:val="center"/>
          </w:tcPr>
          <w:p>
            <w:pPr>
              <w:pStyle w:val="22"/>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2"/>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2"/>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2"/>
              <w:bidi w:val="0"/>
            </w:pPr>
            <w:r>
              <w:rPr>
                <w:rFonts w:hint="eastAsia"/>
              </w:rPr>
              <w:t>1700000000301699</w:t>
            </w:r>
          </w:p>
        </w:tc>
        <w:tc>
          <w:tcPr>
            <w:tcW w:w="1872" w:type="dxa"/>
            <w:tcBorders>
              <w:tl2br w:val="nil"/>
              <w:tr2bl w:val="nil"/>
            </w:tcBorders>
            <w:shd w:val="clear" w:color="auto" w:fill="auto"/>
            <w:vAlign w:val="center"/>
          </w:tcPr>
          <w:p>
            <w:pPr>
              <w:pStyle w:val="22"/>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2"/>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2"/>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2"/>
              <w:bidi w:val="0"/>
            </w:pPr>
          </w:p>
        </w:tc>
        <w:tc>
          <w:tcPr>
            <w:tcW w:w="1796"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2"/>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2"/>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2"/>
              <w:bidi w:val="0"/>
            </w:pPr>
            <w:r>
              <w:t>技术专家</w:t>
            </w:r>
          </w:p>
        </w:tc>
        <w:tc>
          <w:tcPr>
            <w:tcW w:w="7480"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2"/>
              <w:bidi w:val="0"/>
            </w:pPr>
            <w:r>
              <w:t>现场勘察人员及时间</w:t>
            </w:r>
          </w:p>
        </w:tc>
        <w:tc>
          <w:tcPr>
            <w:tcW w:w="7480"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2"/>
              <w:bidi w:val="0"/>
            </w:pPr>
            <w:r>
              <w:t>项目简介</w:t>
            </w:r>
          </w:p>
        </w:tc>
        <w:tc>
          <w:tcPr>
            <w:tcW w:w="7480" w:type="dxa"/>
            <w:gridSpan w:val="3"/>
            <w:tcBorders>
              <w:tl2br w:val="nil"/>
              <w:tr2bl w:val="nil"/>
            </w:tcBorders>
            <w:shd w:val="clear" w:color="auto" w:fill="auto"/>
            <w:vAlign w:val="top"/>
          </w:tcPr>
          <w:p>
            <w:pPr>
              <w:pStyle w:val="22"/>
              <w:bidi w:val="0"/>
              <w:ind w:firstLine="480" w:firstLineChars="200"/>
              <w:rPr>
                <w:rFonts w:hint="eastAsia"/>
                <w:lang w:eastAsia="zh-CN"/>
              </w:rPr>
            </w:pPr>
            <w:r>
              <w:rPr>
                <w:rFonts w:hint="eastAsia"/>
                <w:lang w:eastAsia="zh-CN"/>
              </w:rPr>
              <w:t>威宁县猴场俊峰加油站位于毕节市威宁县猴场镇街上村S212省道北侧，加油站投资人和主要负责人为：王俊峰，该加油站经营92#汽油、0#柴油，储罐区埋地设置92#汽油罐2座，每座25m³；0#柴油罐1座，容量30m³。加油区设置3台自吸泵加油机，其中92#汽油单枪加油机2台，0#/0#双枪柴油加油机1台。加油站总容积为65m³（柴油折半计算），属于三级加油站。</w:t>
            </w:r>
          </w:p>
          <w:p>
            <w:pPr>
              <w:pStyle w:val="22"/>
              <w:bidi w:val="0"/>
              <w:ind w:firstLine="480" w:firstLineChars="200"/>
              <w:rPr>
                <w:rFonts w:hint="eastAsia"/>
                <w:lang w:eastAsia="zh-CN"/>
              </w:rPr>
            </w:pPr>
            <w:r>
              <w:rPr>
                <w:rFonts w:hint="eastAsia"/>
                <w:lang w:eastAsia="zh-CN"/>
              </w:rPr>
              <w:t>评价结论：威宁县猴场俊峰加油站现状条件符合现行国家相关法律、法规的相关要求，符合《危险化学品经营许可证管理办法》规定的安全经营条件。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2"/>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bookmarkStart w:id="0" w:name="_GoBack"/>
            <w:r>
              <w:rPr>
                <w:rFonts w:hint="default"/>
                <w:lang w:val="en-US" w:eastAsia="zh-CN"/>
              </w:rPr>
              <w:drawing>
                <wp:inline distT="0" distB="0" distL="114300" distR="114300">
                  <wp:extent cx="4003040" cy="2430780"/>
                  <wp:effectExtent l="0" t="0" r="16510" b="7620"/>
                  <wp:docPr id="2" name="图片 2"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检查 (1)"/>
                          <pic:cNvPicPr>
                            <a:picLocks noChangeAspect="1"/>
                          </pic:cNvPicPr>
                        </pic:nvPicPr>
                        <pic:blipFill>
                          <a:blip r:embed="rId5"/>
                          <a:stretch>
                            <a:fillRect/>
                          </a:stretch>
                        </pic:blipFill>
                        <pic:spPr>
                          <a:xfrm>
                            <a:off x="0" y="0"/>
                            <a:ext cx="4003040" cy="2430780"/>
                          </a:xfrm>
                          <a:prstGeom prst="rect">
                            <a:avLst/>
                          </a:prstGeom>
                        </pic:spPr>
                      </pic:pic>
                    </a:graphicData>
                  </a:graphic>
                </wp:inline>
              </w:drawing>
            </w:r>
            <w:bookmarkEnd w:id="0"/>
          </w:p>
          <w:p>
            <w:pPr>
              <w:rPr>
                <w:rFonts w:hint="default"/>
                <w:lang w:val="en-US" w:eastAsia="zh-CN"/>
              </w:rPr>
            </w:pPr>
            <w:r>
              <w:rPr>
                <w:rFonts w:hint="default"/>
                <w:lang w:val="en-US" w:eastAsia="zh-CN"/>
              </w:rPr>
              <w:drawing>
                <wp:inline distT="0" distB="0" distL="114300" distR="114300">
                  <wp:extent cx="4057650" cy="2475230"/>
                  <wp:effectExtent l="0" t="0" r="0" b="1270"/>
                  <wp:docPr id="3" name="图片 3"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检查 (8)"/>
                          <pic:cNvPicPr>
                            <a:picLocks noChangeAspect="1"/>
                          </pic:cNvPicPr>
                        </pic:nvPicPr>
                        <pic:blipFill>
                          <a:blip r:embed="rId6"/>
                          <a:stretch>
                            <a:fillRect/>
                          </a:stretch>
                        </pic:blipFill>
                        <pic:spPr>
                          <a:xfrm>
                            <a:off x="0" y="0"/>
                            <a:ext cx="4057650" cy="247523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082415" cy="2735580"/>
                  <wp:effectExtent l="0" t="0" r="13335" b="7620"/>
                  <wp:docPr id="4" name="图片 4"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检查 (6)"/>
                          <pic:cNvPicPr>
                            <a:picLocks noChangeAspect="1"/>
                          </pic:cNvPicPr>
                        </pic:nvPicPr>
                        <pic:blipFill>
                          <a:blip r:embed="rId7"/>
                          <a:stretch>
                            <a:fillRect/>
                          </a:stretch>
                        </pic:blipFill>
                        <pic:spPr>
                          <a:xfrm>
                            <a:off x="0" y="0"/>
                            <a:ext cx="4082415" cy="2735580"/>
                          </a:xfrm>
                          <a:prstGeom prst="rect">
                            <a:avLst/>
                          </a:prstGeom>
                        </pic:spPr>
                      </pic:pic>
                    </a:graphicData>
                  </a:graphic>
                </wp:inline>
              </w:drawing>
            </w:r>
          </w:p>
          <w:p>
            <w:pPr>
              <w:rPr>
                <w:rFonts w:hint="default"/>
                <w:lang w:val="en-US" w:eastAsia="zh-CN"/>
              </w:rPr>
            </w:pP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被评价单位信息反馈情况</w:t>
            </w:r>
          </w:p>
        </w:tc>
        <w:tc>
          <w:tcPr>
            <w:tcW w:w="7480" w:type="dxa"/>
            <w:gridSpan w:val="3"/>
            <w:tcBorders>
              <w:tl2br w:val="nil"/>
              <w:tr2bl w:val="nil"/>
            </w:tcBorders>
            <w:shd w:val="clear" w:color="auto" w:fill="auto"/>
            <w:vAlign w:val="center"/>
          </w:tcPr>
          <w:p>
            <w:pPr>
              <w:pStyle w:val="22"/>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册亨县坡坪加油站</w:t>
            </w:r>
          </w:p>
          <w:p>
            <w:pPr>
              <w:pStyle w:val="22"/>
              <w:bidi w:val="0"/>
              <w:rPr>
                <w:rFonts w:hint="default"/>
                <w:lang w:val="en-US" w:eastAsia="zh-CN"/>
              </w:rPr>
            </w:pPr>
            <w:r>
              <w:rPr>
                <w:rFonts w:hint="eastAsi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2"/>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pPr>
            <w:r>
              <w:rPr>
                <w:rFonts w:hint="eastAsia"/>
              </w:rPr>
              <w:t>1100000000302946</w:t>
            </w:r>
          </w:p>
        </w:tc>
        <w:tc>
          <w:tcPr>
            <w:tcW w:w="1897" w:type="dxa"/>
            <w:tcBorders>
              <w:tl2br w:val="nil"/>
              <w:tr2bl w:val="nil"/>
            </w:tcBorders>
            <w:shd w:val="clear" w:color="auto" w:fill="auto"/>
            <w:vAlign w:val="center"/>
          </w:tcPr>
          <w:p>
            <w:pPr>
              <w:pStyle w:val="22"/>
              <w:bidi w:val="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杨尚达、许丹 2023.11.16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4"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 xml:space="preserve">    册亨县坡坪加油站成立于2015年03月24日，位于贵州省黔西南布依族苗族自治州册亨县坡妹镇双喜村，企业类型为个人独资企业，投资人：杜志强。加油站内设50m³汽油储罐2个，50m³柴油储罐1个，总容积为150m³，油品折算后总容积为125m3（柴油容积折半计入），根据《汽车加油加气加氢站技术标准》（GB50156-2021）加油站等级划分标准，单个汽油罐容积为30m³，为二级加油站。</w:t>
            </w:r>
          </w:p>
          <w:p>
            <w:pPr>
              <w:rPr>
                <w:rFonts w:hint="eastAsia"/>
                <w:lang w:eastAsia="zh-CN"/>
              </w:rPr>
            </w:pPr>
          </w:p>
          <w:p>
            <w:pPr>
              <w:pStyle w:val="22"/>
              <w:bidi w:val="0"/>
              <w:ind w:firstLine="480" w:firstLineChars="200"/>
              <w:rPr>
                <w:rFonts w:hint="eastAsia"/>
                <w:lang w:eastAsia="zh-CN"/>
              </w:rPr>
            </w:pPr>
            <w:r>
              <w:rPr>
                <w:rFonts w:hint="eastAsia"/>
                <w:lang w:eastAsia="zh-CN"/>
              </w:rPr>
              <w:t>评价结论：册亨县坡坪加油站现状条件符合现行国家相关法律、法规的相关要求，符合《危险化学品经营许可证管理办法》规定的安全经营条件。</w:t>
            </w:r>
          </w:p>
          <w:p>
            <w:pPr>
              <w:pStyle w:val="22"/>
              <w:bidi w:val="0"/>
              <w:rPr>
                <w:rFonts w:hint="eastAsia"/>
                <w:lang w:eastAsia="zh-CN"/>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099"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ind w:left="0" w:leftChars="0" w:right="0" w:rightChars="0" w:firstLine="0" w:firstLineChars="0"/>
              <w:jc w:val="center"/>
              <w:rPr>
                <w:rFonts w:hint="default"/>
                <w:lang w:val="en-US" w:eastAsia="zh-CN"/>
              </w:rPr>
            </w:pPr>
          </w:p>
          <w:p>
            <w:pPr>
              <w:pStyle w:val="22"/>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38270" cy="2783205"/>
                  <wp:effectExtent l="0" t="0" r="5080" b="17145"/>
                  <wp:docPr id="5" name="图片 5"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检查 (6)"/>
                          <pic:cNvPicPr>
                            <a:picLocks noChangeAspect="1"/>
                          </pic:cNvPicPr>
                        </pic:nvPicPr>
                        <pic:blipFill>
                          <a:blip r:embed="rId8"/>
                          <a:stretch>
                            <a:fillRect/>
                          </a:stretch>
                        </pic:blipFill>
                        <pic:spPr>
                          <a:xfrm>
                            <a:off x="0" y="0"/>
                            <a:ext cx="3938270" cy="278320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896360" cy="2674620"/>
                  <wp:effectExtent l="0" t="0" r="8890" b="11430"/>
                  <wp:docPr id="6" name="图片 6"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检查 (4)"/>
                          <pic:cNvPicPr>
                            <a:picLocks noChangeAspect="1"/>
                          </pic:cNvPicPr>
                        </pic:nvPicPr>
                        <pic:blipFill>
                          <a:blip r:embed="rId9"/>
                          <a:stretch>
                            <a:fillRect/>
                          </a:stretch>
                        </pic:blipFill>
                        <pic:spPr>
                          <a:xfrm>
                            <a:off x="0" y="0"/>
                            <a:ext cx="3896360" cy="267462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097020" cy="2653665"/>
                  <wp:effectExtent l="0" t="0" r="17780" b="13335"/>
                  <wp:docPr id="7" name="图片 7"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检查 (3)"/>
                          <pic:cNvPicPr>
                            <a:picLocks noChangeAspect="1"/>
                          </pic:cNvPicPr>
                        </pic:nvPicPr>
                        <pic:blipFill>
                          <a:blip r:embed="rId10"/>
                          <a:stretch>
                            <a:fillRect/>
                          </a:stretch>
                        </pic:blipFill>
                        <pic:spPr>
                          <a:xfrm>
                            <a:off x="0" y="0"/>
                            <a:ext cx="4097020" cy="26536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pPr>
            <w:r>
              <w:t>项目名称</w:t>
            </w:r>
          </w:p>
        </w:tc>
        <w:tc>
          <w:tcPr>
            <w:tcW w:w="7480" w:type="dxa"/>
            <w:gridSpan w:val="3"/>
            <w:tcBorders>
              <w:tl2br w:val="nil"/>
              <w:tr2bl w:val="nil"/>
            </w:tcBorders>
            <w:shd w:val="clear" w:color="auto" w:fill="auto"/>
            <w:vAlign w:val="center"/>
          </w:tcPr>
          <w:p>
            <w:pPr>
              <w:jc w:val="both"/>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铜仁合益气体有限公司德江分公司</w:t>
            </w:r>
          </w:p>
          <w:p>
            <w:pPr>
              <w:jc w:val="both"/>
              <w:rPr>
                <w:rFonts w:hint="default"/>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pPr>
            <w:r>
              <w:t>完成时间</w:t>
            </w:r>
          </w:p>
        </w:tc>
        <w:tc>
          <w:tcPr>
            <w:tcW w:w="7480" w:type="dxa"/>
            <w:gridSpan w:val="3"/>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2023.11.27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2"/>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pPr>
          </w:p>
        </w:tc>
        <w:tc>
          <w:tcPr>
            <w:tcW w:w="1796" w:type="dxa"/>
            <w:tcBorders>
              <w:tl2br w:val="nil"/>
              <w:tr2bl w:val="nil"/>
            </w:tcBorders>
            <w:shd w:val="clear" w:color="auto" w:fill="auto"/>
            <w:vAlign w:val="center"/>
          </w:tcPr>
          <w:p>
            <w:pPr>
              <w:pStyle w:val="22"/>
              <w:bidi w:val="0"/>
              <w:ind w:firstLine="0" w:firstLineChars="0"/>
            </w:pPr>
            <w:r>
              <w:t>姓名</w:t>
            </w:r>
          </w:p>
        </w:tc>
        <w:tc>
          <w:tcPr>
            <w:tcW w:w="3812" w:type="dxa"/>
            <w:tcBorders>
              <w:tl2br w:val="nil"/>
              <w:tr2bl w:val="nil"/>
            </w:tcBorders>
            <w:shd w:val="clear" w:color="auto" w:fill="auto"/>
            <w:vAlign w:val="center"/>
          </w:tcPr>
          <w:p>
            <w:pPr>
              <w:pStyle w:val="22"/>
              <w:bidi w:val="0"/>
              <w:ind w:firstLine="0" w:firstLineChars="0"/>
            </w:pPr>
            <w:r>
              <w:t>资格证书号</w:t>
            </w:r>
          </w:p>
        </w:tc>
        <w:tc>
          <w:tcPr>
            <w:tcW w:w="1872" w:type="dxa"/>
            <w:tcBorders>
              <w:tl2br w:val="nil"/>
              <w:tr2bl w:val="nil"/>
            </w:tcBorders>
            <w:shd w:val="clear" w:color="auto" w:fill="auto"/>
            <w:vAlign w:val="center"/>
          </w:tcPr>
          <w:p>
            <w:pPr>
              <w:pStyle w:val="22"/>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pPr>
            <w:r>
              <w:t>项目负责人</w:t>
            </w: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72"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22"/>
              <w:bidi w:val="0"/>
              <w:ind w:firstLine="0" w:firstLineChars="0"/>
            </w:pPr>
            <w:r>
              <w:t>项目组成员</w:t>
            </w: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ind w:firstLine="0" w:firstLineChars="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ind w:firstLine="0" w:firstLineChars="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ind w:firstLine="0" w:firstLineChars="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72"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ind w:firstLine="0" w:firstLineChars="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22"/>
              <w:bidi w:val="0"/>
              <w:ind w:firstLine="0" w:firstLineChars="0"/>
            </w:pPr>
          </w:p>
        </w:tc>
        <w:tc>
          <w:tcPr>
            <w:tcW w:w="1796"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pPr>
            <w:r>
              <w:t>技术专家</w:t>
            </w:r>
          </w:p>
        </w:tc>
        <w:tc>
          <w:tcPr>
            <w:tcW w:w="7480" w:type="dxa"/>
            <w:gridSpan w:val="3"/>
            <w:tcBorders>
              <w:tl2br w:val="nil"/>
              <w:tr2bl w:val="nil"/>
            </w:tcBorders>
            <w:shd w:val="clear" w:color="auto" w:fill="auto"/>
            <w:vAlign w:val="center"/>
          </w:tcPr>
          <w:p>
            <w:pPr>
              <w:pStyle w:val="22"/>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pPr>
            <w:r>
              <w:t>现场勘察人员及时间</w:t>
            </w:r>
          </w:p>
        </w:tc>
        <w:tc>
          <w:tcPr>
            <w:tcW w:w="7480" w:type="dxa"/>
            <w:gridSpan w:val="3"/>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杨尚达、郦旭锋 2023.11.10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2"/>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5" w:hRule="atLeast"/>
          <w:jc w:val="center"/>
        </w:trPr>
        <w:tc>
          <w:tcPr>
            <w:tcW w:w="1749" w:type="dxa"/>
            <w:tcBorders>
              <w:tl2br w:val="nil"/>
              <w:tr2bl w:val="nil"/>
            </w:tcBorders>
            <w:shd w:val="clear" w:color="auto" w:fill="auto"/>
            <w:vAlign w:val="center"/>
          </w:tcPr>
          <w:p>
            <w:pPr>
              <w:pStyle w:val="22"/>
              <w:bidi w:val="0"/>
              <w:ind w:firstLine="0" w:firstLineChars="0"/>
            </w:pPr>
            <w:r>
              <w:t>项目简介</w:t>
            </w:r>
          </w:p>
        </w:tc>
        <w:tc>
          <w:tcPr>
            <w:tcW w:w="7480" w:type="dxa"/>
            <w:gridSpan w:val="3"/>
            <w:tcBorders>
              <w:tl2br w:val="nil"/>
              <w:tr2bl w:val="nil"/>
            </w:tcBorders>
            <w:shd w:val="clear" w:color="auto" w:fill="auto"/>
            <w:vAlign w:val="top"/>
          </w:tcPr>
          <w:p>
            <w:pPr>
              <w:pStyle w:val="22"/>
              <w:bidi w:val="0"/>
              <w:ind w:firstLine="480" w:firstLineChars="200"/>
              <w:rPr>
                <w:rFonts w:hint="eastAsia" w:ascii="宋体" w:hAnsi="宋体" w:eastAsia="宋体" w:cs="Times New Roman"/>
                <w:lang w:eastAsia="zh-CN"/>
              </w:rPr>
            </w:pPr>
            <w:r>
              <w:rPr>
                <w:rFonts w:hint="eastAsia" w:ascii="宋体" w:hAnsi="宋体" w:eastAsia="宋体" w:cs="Times New Roman"/>
                <w:lang w:eastAsia="zh-CN"/>
              </w:rPr>
              <w:t>根据《中华人民共和国安全生产法》（国家主席令[2021]第88号，2021年9月1日施行），《危险化学品安全管理条例》（国务院令〔2011〕第591号，2013年第645号令修改），《危险化学品经营许可证管理办法》（原安监总局令〔2012〕第55号，原安监总局2015年79号令修改）第三条、第八条和第九条之规定，所有经营危险化学品的企业必须对该企业经营危化品进行安全评价。</w:t>
            </w:r>
          </w:p>
          <w:p>
            <w:pPr>
              <w:rPr>
                <w:rFonts w:hint="eastAsia"/>
                <w:lang w:eastAsia="zh-CN"/>
              </w:rPr>
            </w:pPr>
          </w:p>
          <w:p>
            <w:pPr>
              <w:pStyle w:val="22"/>
              <w:bidi w:val="0"/>
              <w:ind w:firstLine="480" w:firstLineChars="200"/>
              <w:rPr>
                <w:rFonts w:hint="eastAsia"/>
                <w:lang w:eastAsia="zh-CN"/>
              </w:rPr>
            </w:pPr>
            <w:r>
              <w:rPr>
                <w:rFonts w:hint="eastAsia"/>
                <w:lang w:eastAsia="zh-CN"/>
              </w:rPr>
              <w:t>评价结论：铜仁合益气体有限公司德江分公司经营条件符合安全要求。</w:t>
            </w:r>
          </w:p>
          <w:p>
            <w:pPr>
              <w:bidi w:val="0"/>
            </w:pPr>
          </w:p>
          <w:p>
            <w:pPr>
              <w:bidi w:val="0"/>
            </w:pPr>
          </w:p>
          <w:p>
            <w:pPr>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现场照片</w:t>
            </w:r>
          </w:p>
        </w:tc>
        <w:tc>
          <w:tcPr>
            <w:tcW w:w="7480" w:type="dxa"/>
            <w:gridSpan w:val="3"/>
            <w:tcBorders>
              <w:tl2br w:val="nil"/>
              <w:tr2bl w:val="nil"/>
            </w:tcBorders>
            <w:shd w:val="clear" w:color="auto" w:fill="auto"/>
            <w:vAlign w:val="top"/>
          </w:tcPr>
          <w:p>
            <w:pPr>
              <w:jc w:val="both"/>
              <w:rPr>
                <w:rFonts w:hint="default"/>
                <w:lang w:val="en-US" w:eastAsia="zh-CN"/>
              </w:rPr>
            </w:pPr>
          </w:p>
          <w:p>
            <w:pPr>
              <w:pStyle w:val="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40175" cy="2784475"/>
                  <wp:effectExtent l="0" t="0" r="3175" b="15875"/>
                  <wp:docPr id="8" name="图片 8" descr="检查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检查 (12)"/>
                          <pic:cNvPicPr>
                            <a:picLocks noChangeAspect="1"/>
                          </pic:cNvPicPr>
                        </pic:nvPicPr>
                        <pic:blipFill>
                          <a:blip r:embed="rId11"/>
                          <a:stretch>
                            <a:fillRect/>
                          </a:stretch>
                        </pic:blipFill>
                        <pic:spPr>
                          <a:xfrm>
                            <a:off x="0" y="0"/>
                            <a:ext cx="3940175" cy="2784475"/>
                          </a:xfrm>
                          <a:prstGeom prst="rect">
                            <a:avLst/>
                          </a:prstGeom>
                        </pic:spPr>
                      </pic:pic>
                    </a:graphicData>
                  </a:graphic>
                </wp:inline>
              </w:drawing>
            </w:r>
          </w:p>
          <w:p>
            <w:pPr>
              <w:pStyle w:val="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37000" cy="2743835"/>
                  <wp:effectExtent l="0" t="0" r="6350" b="18415"/>
                  <wp:docPr id="9" name="图片 9" descr="检查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检查 (11)"/>
                          <pic:cNvPicPr>
                            <a:picLocks noChangeAspect="1"/>
                          </pic:cNvPicPr>
                        </pic:nvPicPr>
                        <pic:blipFill>
                          <a:blip r:embed="rId12"/>
                          <a:stretch>
                            <a:fillRect/>
                          </a:stretch>
                        </pic:blipFill>
                        <pic:spPr>
                          <a:xfrm>
                            <a:off x="0" y="0"/>
                            <a:ext cx="3937000" cy="2743835"/>
                          </a:xfrm>
                          <a:prstGeom prst="rect">
                            <a:avLst/>
                          </a:prstGeom>
                        </pic:spPr>
                      </pic:pic>
                    </a:graphicData>
                  </a:graphic>
                </wp:inline>
              </w:drawing>
            </w:r>
          </w:p>
          <w:p>
            <w:pPr>
              <w:pStyle w:val="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89705" cy="2698115"/>
                  <wp:effectExtent l="0" t="0" r="10795" b="6985"/>
                  <wp:docPr id="10" name="图片 10"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检查 (2)"/>
                          <pic:cNvPicPr>
                            <a:picLocks noChangeAspect="1"/>
                          </pic:cNvPicPr>
                        </pic:nvPicPr>
                        <pic:blipFill>
                          <a:blip r:embed="rId13"/>
                          <a:stretch>
                            <a:fillRect/>
                          </a:stretch>
                        </pic:blipFill>
                        <pic:spPr>
                          <a:xfrm>
                            <a:off x="0" y="0"/>
                            <a:ext cx="3989705" cy="26981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2"/>
              <w:bidi w:val="0"/>
            </w:pPr>
            <w:r>
              <w:t>被评价单位信息反馈情况</w:t>
            </w:r>
          </w:p>
        </w:tc>
        <w:tc>
          <w:tcPr>
            <w:tcW w:w="7480" w:type="dxa"/>
            <w:gridSpan w:val="3"/>
            <w:tcBorders>
              <w:tl2br w:val="nil"/>
              <w:tr2bl w:val="nil"/>
            </w:tcBorders>
            <w:shd w:val="clear" w:color="auto" w:fill="auto"/>
            <w:vAlign w:val="center"/>
          </w:tcPr>
          <w:p>
            <w:pPr>
              <w:pStyle w:val="22"/>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息烽县中油零售有限公司盘脚营加油站</w:t>
            </w:r>
          </w:p>
          <w:p>
            <w:pPr>
              <w:pStyle w:val="22"/>
              <w:bidi w:val="0"/>
              <w:rPr>
                <w:rFonts w:hint="eastAsia" w:eastAsia="宋体"/>
                <w:lang w:val="en-US" w:eastAsia="zh-CN"/>
              </w:rPr>
            </w:pPr>
            <w:r>
              <w:rPr>
                <w:rFonts w:hint="eastAsia"/>
                <w:lang w:eastAsia="zh-CN"/>
              </w:rPr>
              <w:t>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2"/>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2023.06.26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6"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中华人民共和国主席令2021年第88号）、《危险化学品安全管理条例》（国务院令2011年第591号，2013年第645号令修改）及《危险化学品建设项目安全监督管理办法》（原国家安全生产监督管理总局令第45号发布，79号令修改)、《贵州省危险化学品建设项目安全监督管理实施细则》（原黔安监管三 〔2018〕3号)等国家法律、法规的有关要求，推进息烽县中油零售有限责任公司盘脚营加油站建设项目在设计上实现本质安全化，山东新安达工程咨询有限公司受息烽县中油零售有限责任公司的委托，对息烽县中油零售有限责任公司盘脚营加油站新建项目进行安全条件评价。</w:t>
            </w:r>
          </w:p>
          <w:p>
            <w:pPr>
              <w:pStyle w:val="22"/>
              <w:bidi w:val="0"/>
              <w:ind w:firstLine="480" w:firstLineChars="200"/>
              <w:rPr>
                <w:rFonts w:hint="eastAsia"/>
                <w:lang w:eastAsia="zh-CN"/>
              </w:rPr>
            </w:pPr>
            <w:r>
              <w:rPr>
                <w:rFonts w:hint="eastAsia"/>
                <w:lang w:eastAsia="zh-CN"/>
              </w:rPr>
              <w:t>评价结论：息烽县中油零售有限责任公司盘脚营加油站新建项目采用的工艺成熟，技术安全可靠；项目选址和总体布局能符合国家有关法律、行政法规、部门规章和标准、规范的要求，具备相关法律法规的安全条件。</w:t>
            </w:r>
          </w:p>
          <w:p>
            <w:pPr>
              <w:rPr>
                <w:rFonts w:hint="eastAsia"/>
                <w:lang w:eastAsia="zh-CN"/>
              </w:rPr>
            </w:pP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49"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lang w:val="en-US" w:eastAsia="zh-CN"/>
              </w:rPr>
            </w:pPr>
            <w:r>
              <w:rPr>
                <w:rFonts w:hint="default"/>
                <w:lang w:val="en-US" w:eastAsia="zh-CN"/>
              </w:rPr>
              <w:drawing>
                <wp:inline distT="0" distB="0" distL="114300" distR="114300">
                  <wp:extent cx="3977005" cy="2685415"/>
                  <wp:effectExtent l="0" t="0" r="4445" b="635"/>
                  <wp:docPr id="11" name="图片 11"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检查 (5)"/>
                          <pic:cNvPicPr>
                            <a:picLocks noChangeAspect="1"/>
                          </pic:cNvPicPr>
                        </pic:nvPicPr>
                        <pic:blipFill>
                          <a:blip r:embed="rId14"/>
                          <a:stretch>
                            <a:fillRect/>
                          </a:stretch>
                        </pic:blipFill>
                        <pic:spPr>
                          <a:xfrm>
                            <a:off x="0" y="0"/>
                            <a:ext cx="3977005" cy="268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lang w:val="en-US" w:eastAsia="zh-CN"/>
              </w:rPr>
            </w:pPr>
            <w:r>
              <w:rPr>
                <w:rFonts w:hint="default"/>
                <w:lang w:val="en-US" w:eastAsia="zh-CN"/>
              </w:rPr>
              <w:drawing>
                <wp:inline distT="0" distB="0" distL="114300" distR="114300">
                  <wp:extent cx="3940175" cy="2602230"/>
                  <wp:effectExtent l="0" t="0" r="3175" b="7620"/>
                  <wp:docPr id="12" name="图片 12"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检查 (4)"/>
                          <pic:cNvPicPr>
                            <a:picLocks noChangeAspect="1"/>
                          </pic:cNvPicPr>
                        </pic:nvPicPr>
                        <pic:blipFill>
                          <a:blip r:embed="rId15"/>
                          <a:stretch>
                            <a:fillRect/>
                          </a:stretch>
                        </pic:blipFill>
                        <pic:spPr>
                          <a:xfrm>
                            <a:off x="0" y="0"/>
                            <a:ext cx="3940175" cy="2602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drawing>
                <wp:inline distT="0" distB="0" distL="114300" distR="114300">
                  <wp:extent cx="3950335" cy="2770505"/>
                  <wp:effectExtent l="0" t="0" r="12065" b="10795"/>
                  <wp:docPr id="13" name="图片 13"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检查 (2)"/>
                          <pic:cNvPicPr>
                            <a:picLocks noChangeAspect="1"/>
                          </pic:cNvPicPr>
                        </pic:nvPicPr>
                        <pic:blipFill>
                          <a:blip r:embed="rId16"/>
                          <a:stretch>
                            <a:fillRect/>
                          </a:stretch>
                        </pic:blipFill>
                        <pic:spPr>
                          <a:xfrm>
                            <a:off x="0" y="0"/>
                            <a:ext cx="3950335" cy="2770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color w:val="auto"/>
                <w:lang w:eastAsia="zh-CN"/>
              </w:rPr>
            </w:pPr>
            <w:r>
              <w:rPr>
                <w:rFonts w:hint="eastAsia"/>
                <w:color w:val="auto"/>
                <w:lang w:eastAsia="zh-CN"/>
              </w:rPr>
              <w:t>兴仁中石化金凤凰能源发展有限责任公司兴仁新区加油站</w:t>
            </w:r>
          </w:p>
          <w:p>
            <w:pPr>
              <w:pStyle w:val="22"/>
              <w:bidi w:val="0"/>
              <w:rPr>
                <w:rFonts w:hint="eastAsia" w:eastAsia="宋体"/>
                <w:lang w:val="en-US" w:eastAsia="zh-CN"/>
              </w:rPr>
            </w:pPr>
            <w:r>
              <w:rPr>
                <w:rFonts w:hint="eastAsia"/>
                <w:color w:val="auto"/>
                <w:lang w:val="en-US" w:eastAsia="zh-CN"/>
              </w:rPr>
              <w:t>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2023.09.17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616"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bidi w:val="0"/>
              <w:ind w:firstLine="480" w:firstLineChars="200"/>
              <w:rPr>
                <w:rFonts w:hint="eastAsia" w:ascii="宋体" w:hAnsi="宋体" w:eastAsia="宋体" w:cs="Times New Roman"/>
                <w:lang w:eastAsia="zh-CN"/>
              </w:rPr>
            </w:pPr>
            <w:r>
              <w:rPr>
                <w:rFonts w:hint="eastAsia" w:ascii="宋体" w:hAnsi="宋体" w:eastAsia="宋体" w:cs="Times New Roman"/>
                <w:lang w:eastAsia="zh-CN"/>
              </w:rPr>
              <w:t>为贯彻“安全第一，预防为主，综合治理”的安全生产方针，落实《中华人民共和国安全生产法》、《危险化学品安全管理条例》及《危险化学品建设项目安全监督管理办法》原（国家安全生产监督管理总局令第45号)、《贵州省危险化学品建设项目安全监督管理实施细则》（原黔安监管三 〔2018〕3号）等国家法律、法规的有关要求，推进兴仁中石化金凤凰能源发展有限责任公司兴仁新区加油站建设项目在设计上实现本质安全化，山东新安达工程咨询有限公司受兴仁中石化金凤凰能源发展有限责任公司的委托，对兴仁中石化金凤凰能源发展有限责任公司兴仁新区加油站新建项目进行安全条件评价。</w:t>
            </w:r>
          </w:p>
          <w:p>
            <w:pPr>
              <w:pStyle w:val="22"/>
              <w:bidi w:val="0"/>
              <w:ind w:firstLine="480" w:firstLineChars="200"/>
              <w:rPr>
                <w:rFonts w:hint="eastAsia" w:ascii="宋体" w:hAnsi="宋体" w:eastAsia="宋体" w:cs="Times New Roman"/>
                <w:lang w:eastAsia="zh-CN"/>
              </w:rPr>
            </w:pPr>
            <w:r>
              <w:rPr>
                <w:rFonts w:hint="eastAsia" w:ascii="宋体" w:hAnsi="宋体" w:eastAsia="宋体" w:cs="Times New Roman"/>
                <w:lang w:eastAsia="zh-CN"/>
              </w:rPr>
              <w:t>评价结论：兴仁中石化金凤凰能源发展有限责任公司兴仁新区加油站新建项目采用的工艺成熟，技术安全可靠，兴仁中石化金凤凰能源发展有限责任公司兴仁新区加油站新建项目选址和总体布局能符合国家有关法律、行政法规、部门规章和标准、规范的要求；具备相关法律法规的安全条件。</w:t>
            </w: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4149725" cy="2602865"/>
                  <wp:effectExtent l="0" t="0" r="3175" b="6985"/>
                  <wp:docPr id="14" name="图片 14"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检查 (2)"/>
                          <pic:cNvPicPr>
                            <a:picLocks noChangeAspect="1"/>
                          </pic:cNvPicPr>
                        </pic:nvPicPr>
                        <pic:blipFill>
                          <a:blip r:embed="rId17"/>
                          <a:stretch>
                            <a:fillRect/>
                          </a:stretch>
                        </pic:blipFill>
                        <pic:spPr>
                          <a:xfrm>
                            <a:off x="0" y="0"/>
                            <a:ext cx="4149725" cy="260286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135120" cy="2510790"/>
                  <wp:effectExtent l="0" t="0" r="17780" b="3810"/>
                  <wp:docPr id="15" name="图片 15"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检查 (4)"/>
                          <pic:cNvPicPr>
                            <a:picLocks noChangeAspect="1"/>
                          </pic:cNvPicPr>
                        </pic:nvPicPr>
                        <pic:blipFill>
                          <a:blip r:embed="rId18"/>
                          <a:stretch>
                            <a:fillRect/>
                          </a:stretch>
                        </pic:blipFill>
                        <pic:spPr>
                          <a:xfrm>
                            <a:off x="0" y="0"/>
                            <a:ext cx="4135120" cy="251079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168775" cy="2853055"/>
                  <wp:effectExtent l="0" t="0" r="3175" b="4445"/>
                  <wp:docPr id="16" name="图片 16"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检查 (1)"/>
                          <pic:cNvPicPr>
                            <a:picLocks noChangeAspect="1"/>
                          </pic:cNvPicPr>
                        </pic:nvPicPr>
                        <pic:blipFill>
                          <a:blip r:embed="rId19"/>
                          <a:stretch>
                            <a:fillRect/>
                          </a:stretch>
                        </pic:blipFill>
                        <pic:spPr>
                          <a:xfrm>
                            <a:off x="0" y="0"/>
                            <a:ext cx="4168775" cy="2853055"/>
                          </a:xfrm>
                          <a:prstGeom prst="rect">
                            <a:avLst/>
                          </a:prstGeom>
                        </pic:spPr>
                      </pic:pic>
                    </a:graphicData>
                  </a:graphic>
                </wp:inline>
              </w:drawing>
            </w: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24"/>
        <w:gridCol w:w="1769"/>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项目名称</w:t>
            </w:r>
          </w:p>
        </w:tc>
        <w:tc>
          <w:tcPr>
            <w:tcW w:w="753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中国石化销售股份有限公司贵州黔南惠水石油分公司摆金加油站</w:t>
            </w:r>
          </w:p>
          <w:p>
            <w:pPr>
              <w:jc w:val="left"/>
              <w:rPr>
                <w:rFonts w:hint="default"/>
                <w:lang w:val="en-US" w:eastAsia="zh-CN"/>
              </w:rPr>
            </w:pPr>
            <w:r>
              <w:rPr>
                <w:rFonts w:hint="eastAsia" w:ascii="宋体" w:hAnsi="宋体" w:eastAsia="宋体" w:cs="Times New Roman"/>
                <w:kern w:val="0"/>
                <w:sz w:val="24"/>
                <w:szCs w:val="20"/>
                <w:lang w:val="en-US" w:eastAsia="zh-CN" w:bidi="ar-SA"/>
              </w:rPr>
              <w:t>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完成时间</w:t>
            </w:r>
          </w:p>
        </w:tc>
        <w:tc>
          <w:tcPr>
            <w:tcW w:w="7530"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p>
        </w:tc>
        <w:tc>
          <w:tcPr>
            <w:tcW w:w="1769"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项目负责人</w:t>
            </w: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restart"/>
            <w:tcBorders>
              <w:tl2br w:val="nil"/>
              <w:tr2bl w:val="nil"/>
            </w:tcBorders>
            <w:shd w:val="clear" w:color="auto" w:fill="auto"/>
            <w:vAlign w:val="center"/>
          </w:tcPr>
          <w:p>
            <w:pPr>
              <w:pStyle w:val="22"/>
              <w:bidi w:val="0"/>
            </w:pPr>
            <w:r>
              <w:t>项目组成员</w:t>
            </w: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2"/>
              <w:bidi w:val="0"/>
            </w:pP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2"/>
              <w:bidi w:val="0"/>
            </w:pP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2"/>
              <w:bidi w:val="0"/>
            </w:pP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2"/>
              <w:bidi w:val="0"/>
            </w:pP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vMerge w:val="continue"/>
            <w:tcBorders>
              <w:tl2br w:val="nil"/>
              <w:tr2bl w:val="nil"/>
            </w:tcBorders>
            <w:shd w:val="clear" w:color="auto" w:fill="auto"/>
            <w:vAlign w:val="center"/>
          </w:tcPr>
          <w:p>
            <w:pPr>
              <w:pStyle w:val="22"/>
              <w:bidi w:val="0"/>
            </w:pPr>
          </w:p>
        </w:tc>
        <w:tc>
          <w:tcPr>
            <w:tcW w:w="1769"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技术专家</w:t>
            </w:r>
          </w:p>
        </w:tc>
        <w:tc>
          <w:tcPr>
            <w:tcW w:w="7530"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现场勘察人员及时间</w:t>
            </w:r>
          </w:p>
        </w:tc>
        <w:tc>
          <w:tcPr>
            <w:tcW w:w="7530"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30"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824" w:type="dxa"/>
            <w:tcBorders>
              <w:tl2br w:val="nil"/>
              <w:tr2bl w:val="nil"/>
            </w:tcBorders>
            <w:shd w:val="clear" w:color="auto" w:fill="auto"/>
            <w:vAlign w:val="center"/>
          </w:tcPr>
          <w:p>
            <w:pPr>
              <w:pStyle w:val="22"/>
              <w:bidi w:val="0"/>
            </w:pPr>
            <w:r>
              <w:t>项目简介</w:t>
            </w:r>
          </w:p>
        </w:tc>
        <w:tc>
          <w:tcPr>
            <w:tcW w:w="7530" w:type="dxa"/>
            <w:gridSpan w:val="3"/>
            <w:tcBorders>
              <w:tl2br w:val="nil"/>
              <w:tr2bl w:val="nil"/>
            </w:tcBorders>
            <w:shd w:val="clear" w:color="auto" w:fill="auto"/>
            <w:vAlign w:val="top"/>
          </w:tcPr>
          <w:p>
            <w:pPr>
              <w:pStyle w:val="22"/>
              <w:bidi w:val="0"/>
              <w:ind w:firstLine="480" w:firstLineChars="200"/>
              <w:rPr>
                <w:rFonts w:hint="eastAsia"/>
                <w:lang w:eastAsia="zh-CN"/>
              </w:rPr>
            </w:pPr>
            <w:r>
              <w:rPr>
                <w:rFonts w:hint="eastAsia"/>
                <w:lang w:eastAsia="zh-CN"/>
              </w:rPr>
              <w:t>为贯彻“安全第一，预防为主，综合治理”的安全生产方针，落实《中华人民共和国安全生产法》（中华人民共和国主席令第88号修改，自2021年9月1日起施行）、《危险化学品安全管理条例》（国务院令2011年第591号，2013年第645号令修改）及《危险化学品建设项目安全监督管理办法》（原国家安全生产监督管理总局令第45号发布，79号令修改)、《贵州省危险化学品建设项目安全监督管理实施细则》（原黔安监管三 〔2018〕3号)等国家法律、法规的有关要求，推进中国石化销售股份有限公司贵州黔南惠水石油分公司摆金加油站原址改扩建项目在设计上实现本质安全化，山东新安达工程咨询有限公司受中国石化销售股份有限公司贵州黔南石油分公司的委托，对中国石化销售股份有限公司贵州黔南惠水石油分公司摆金加油站原址改扩建项目进行安全条件评价。</w:t>
            </w:r>
          </w:p>
          <w:p>
            <w:pPr>
              <w:pStyle w:val="22"/>
              <w:bidi w:val="0"/>
              <w:ind w:firstLine="480" w:firstLineChars="200"/>
            </w:pPr>
            <w:r>
              <w:rPr>
                <w:rFonts w:hint="eastAsia"/>
                <w:lang w:eastAsia="zh-CN"/>
              </w:rPr>
              <w:t>评价结论：中国石化销售股份有限公司贵州黔南惠水石油分公司摆金加油站原址改扩建项目采用的工艺成熟，技术安全可靠；项目选址和总体布局能符合国家有关法律、行政法规、部门规章和标准、规范的要求；具备相关法律法规的安全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现场照片</w:t>
            </w:r>
          </w:p>
        </w:tc>
        <w:tc>
          <w:tcPr>
            <w:tcW w:w="7530" w:type="dxa"/>
            <w:gridSpan w:val="3"/>
            <w:tcBorders>
              <w:tl2br w:val="nil"/>
              <w:tr2bl w:val="nil"/>
            </w:tcBorders>
            <w:shd w:val="clear" w:color="auto" w:fill="auto"/>
            <w:vAlign w:val="top"/>
          </w:tcPr>
          <w:p>
            <w:pPr>
              <w:bidi w:val="0"/>
              <w:jc w:val="both"/>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4044950" cy="2671445"/>
                  <wp:effectExtent l="0" t="0" r="12700" b="14605"/>
                  <wp:docPr id="17" name="图片 17"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检查 (1)"/>
                          <pic:cNvPicPr>
                            <a:picLocks noChangeAspect="1"/>
                          </pic:cNvPicPr>
                        </pic:nvPicPr>
                        <pic:blipFill>
                          <a:blip r:embed="rId20"/>
                          <a:stretch>
                            <a:fillRect/>
                          </a:stretch>
                        </pic:blipFill>
                        <pic:spPr>
                          <a:xfrm>
                            <a:off x="0" y="0"/>
                            <a:ext cx="4044950" cy="2671445"/>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4011295" cy="2677795"/>
                  <wp:effectExtent l="0" t="0" r="8255" b="8255"/>
                  <wp:docPr id="18" name="图片 18"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检查 (2)"/>
                          <pic:cNvPicPr>
                            <a:picLocks noChangeAspect="1"/>
                          </pic:cNvPicPr>
                        </pic:nvPicPr>
                        <pic:blipFill>
                          <a:blip r:embed="rId21"/>
                          <a:stretch>
                            <a:fillRect/>
                          </a:stretch>
                        </pic:blipFill>
                        <pic:spPr>
                          <a:xfrm>
                            <a:off x="0" y="0"/>
                            <a:ext cx="4011295" cy="2677795"/>
                          </a:xfrm>
                          <a:prstGeom prst="rect">
                            <a:avLst/>
                          </a:prstGeom>
                        </pic:spPr>
                      </pic:pic>
                    </a:graphicData>
                  </a:graphic>
                </wp:inline>
              </w:drawing>
            </w:r>
            <w:r>
              <w:rPr>
                <w:rFonts w:hint="default"/>
                <w:lang w:val="en-US" w:eastAsia="zh-CN"/>
              </w:rPr>
              <w:drawing>
                <wp:inline distT="0" distB="0" distL="114300" distR="114300">
                  <wp:extent cx="3999865" cy="2795270"/>
                  <wp:effectExtent l="0" t="0" r="635" b="5080"/>
                  <wp:docPr id="19" name="图片 19"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检查 (3)"/>
                          <pic:cNvPicPr>
                            <a:picLocks noChangeAspect="1"/>
                          </pic:cNvPicPr>
                        </pic:nvPicPr>
                        <pic:blipFill>
                          <a:blip r:embed="rId22"/>
                          <a:stretch>
                            <a:fillRect/>
                          </a:stretch>
                        </pic:blipFill>
                        <pic:spPr>
                          <a:xfrm>
                            <a:off x="0" y="0"/>
                            <a:ext cx="3999865" cy="27952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824" w:type="dxa"/>
            <w:tcBorders>
              <w:tl2br w:val="nil"/>
              <w:tr2bl w:val="nil"/>
            </w:tcBorders>
            <w:shd w:val="clear" w:color="auto" w:fill="auto"/>
            <w:vAlign w:val="center"/>
          </w:tcPr>
          <w:p>
            <w:pPr>
              <w:pStyle w:val="22"/>
              <w:bidi w:val="0"/>
            </w:pPr>
            <w:r>
              <w:t>被评价单位信息反馈情况</w:t>
            </w:r>
          </w:p>
        </w:tc>
        <w:tc>
          <w:tcPr>
            <w:tcW w:w="7530" w:type="dxa"/>
            <w:gridSpan w:val="3"/>
            <w:tcBorders>
              <w:tl2br w:val="nil"/>
              <w:tr2bl w:val="nil"/>
            </w:tcBorders>
            <w:shd w:val="clear" w:color="auto" w:fill="auto"/>
            <w:vAlign w:val="center"/>
          </w:tcPr>
          <w:p>
            <w:pPr>
              <w:pStyle w:val="22"/>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贵州省六枝特区盛安石化产品股份合作经营部六枝加油站</w:t>
            </w:r>
          </w:p>
          <w:p>
            <w:pPr>
              <w:pStyle w:val="22"/>
              <w:bidi w:val="0"/>
              <w:rPr>
                <w:rFonts w:hint="eastAsia" w:eastAsia="宋体"/>
                <w:lang w:val="en-US" w:eastAsia="zh-CN"/>
              </w:rPr>
            </w:pPr>
            <w:r>
              <w:rPr>
                <w:rFonts w:hint="eastAsia"/>
                <w:lang w:eastAsia="zh-CN"/>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杨尚达、杨兴 2023.11.12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bidi w:val="0"/>
              <w:ind w:firstLine="480" w:firstLineChars="200"/>
              <w:rPr>
                <w:rFonts w:hint="eastAsia"/>
                <w:lang w:eastAsia="zh-CN"/>
              </w:rPr>
            </w:pPr>
            <w:r>
              <w:rPr>
                <w:rFonts w:hint="eastAsia"/>
                <w:lang w:eastAsia="zh-CN"/>
              </w:rPr>
              <w:t>贵州省六枝特区盛安石化产品股份合作经营部六枝加油站位于贵州省六盘水市六枝特区平寨镇塔山村，经济类型为股份合作制分支机构，负责人：刘安翠，该加油站加油区设置4台四枪潜油泵加油机，其中汽油加油机2台，汽油/柴油加油机1台，柴油加油机1台，油罐区位于加油区车行道下方，为承重结构，设置4个40m³的SF双层埋地卧式储罐（其中92#汽油储罐2个、95#汽油储罐1个、0#柴油储罐1个），总容积为140m3（柴油容积折半计算），属于二级加油站。</w:t>
            </w:r>
          </w:p>
          <w:p>
            <w:pPr>
              <w:pStyle w:val="22"/>
              <w:bidi w:val="0"/>
              <w:ind w:firstLine="480" w:firstLineChars="200"/>
              <w:rPr>
                <w:rFonts w:hint="eastAsia"/>
                <w:lang w:eastAsia="zh-CN"/>
              </w:rPr>
            </w:pPr>
            <w:r>
              <w:rPr>
                <w:rFonts w:hint="eastAsia"/>
                <w:lang w:eastAsia="zh-CN"/>
              </w:rPr>
              <w:t>评价结论：贵州省六枝特区盛安石化产品股份合作经营部六枝加油站现状条件符合现行国家相关法律、法规的相关要求，符合《危险化学品经营许可证管理办法》规定的安全经营条件。</w:t>
            </w:r>
          </w:p>
          <w:p>
            <w:pPr>
              <w:pStyle w:val="22"/>
              <w:bidi w:val="0"/>
              <w:ind w:firstLine="480" w:firstLineChars="2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74465" cy="2867660"/>
                  <wp:effectExtent l="0" t="0" r="6985" b="8890"/>
                  <wp:docPr id="20" name="图片 20"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检查 (8)"/>
                          <pic:cNvPicPr>
                            <a:picLocks noChangeAspect="1"/>
                          </pic:cNvPicPr>
                        </pic:nvPicPr>
                        <pic:blipFill>
                          <a:blip r:embed="rId23"/>
                          <a:stretch>
                            <a:fillRect/>
                          </a:stretch>
                        </pic:blipFill>
                        <pic:spPr>
                          <a:xfrm>
                            <a:off x="0" y="0"/>
                            <a:ext cx="3974465" cy="2867660"/>
                          </a:xfrm>
                          <a:prstGeom prst="rect">
                            <a:avLst/>
                          </a:prstGeom>
                        </pic:spPr>
                      </pic:pic>
                    </a:graphicData>
                  </a:graphic>
                </wp:inline>
              </w:drawing>
            </w:r>
          </w:p>
          <w:p>
            <w:pPr>
              <w:pStyle w:val="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77005" cy="2613660"/>
                  <wp:effectExtent l="0" t="0" r="4445" b="15240"/>
                  <wp:docPr id="21" name="图片 21"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检查 (6)"/>
                          <pic:cNvPicPr>
                            <a:picLocks noChangeAspect="1"/>
                          </pic:cNvPicPr>
                        </pic:nvPicPr>
                        <pic:blipFill>
                          <a:blip r:embed="rId24"/>
                          <a:stretch>
                            <a:fillRect/>
                          </a:stretch>
                        </pic:blipFill>
                        <pic:spPr>
                          <a:xfrm>
                            <a:off x="0" y="0"/>
                            <a:ext cx="3977005" cy="2613660"/>
                          </a:xfrm>
                          <a:prstGeom prst="rect">
                            <a:avLst/>
                          </a:prstGeom>
                        </pic:spPr>
                      </pic:pic>
                    </a:graphicData>
                  </a:graphic>
                </wp:inline>
              </w:drawing>
            </w:r>
          </w:p>
          <w:p>
            <w:pPr>
              <w:pStyle w:val="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4061460" cy="2493010"/>
                  <wp:effectExtent l="0" t="0" r="15240" b="2540"/>
                  <wp:docPr id="22" name="图片 22"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检查 (5)"/>
                          <pic:cNvPicPr>
                            <a:picLocks noChangeAspect="1"/>
                          </pic:cNvPicPr>
                        </pic:nvPicPr>
                        <pic:blipFill>
                          <a:blip r:embed="rId25"/>
                          <a:stretch>
                            <a:fillRect/>
                          </a:stretch>
                        </pic:blipFill>
                        <pic:spPr>
                          <a:xfrm>
                            <a:off x="0" y="0"/>
                            <a:ext cx="4061460" cy="2493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pPr>
            <w:r>
              <w:t>项目名称</w:t>
            </w:r>
          </w:p>
        </w:tc>
        <w:tc>
          <w:tcPr>
            <w:tcW w:w="7581" w:type="dxa"/>
            <w:gridSpan w:val="3"/>
            <w:tcBorders>
              <w:tl2br w:val="nil"/>
              <w:tr2bl w:val="nil"/>
            </w:tcBorders>
            <w:shd w:val="clear" w:color="auto" w:fill="auto"/>
            <w:vAlign w:val="center"/>
          </w:tcPr>
          <w:p>
            <w:pPr>
              <w:pStyle w:val="22"/>
              <w:bidi w:val="0"/>
              <w:ind w:firstLine="0" w:firstLineChars="0"/>
              <w:rPr>
                <w:rFonts w:hint="eastAsia"/>
                <w:lang w:eastAsia="zh-CN"/>
              </w:rPr>
            </w:pPr>
            <w:r>
              <w:rPr>
                <w:rFonts w:hint="eastAsia"/>
                <w:lang w:eastAsia="zh-CN"/>
              </w:rPr>
              <w:t>中国石化销售股份有限公司贵州贵阳开阳楠木渡加油站迁建项目</w:t>
            </w:r>
          </w:p>
          <w:p>
            <w:pPr>
              <w:pStyle w:val="22"/>
              <w:bidi w:val="0"/>
              <w:ind w:firstLine="0" w:firstLineChars="0"/>
              <w:rPr>
                <w:rFonts w:hint="eastAsia" w:eastAsia="宋体"/>
                <w:lang w:val="en-US" w:eastAsia="zh-CN"/>
              </w:rPr>
            </w:pPr>
            <w:r>
              <w:rPr>
                <w:rFonts w:hint="eastAsia"/>
                <w:lang w:eastAsia="zh-CN"/>
              </w:rPr>
              <w:t>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pPr>
            <w:r>
              <w:t>完成时间</w:t>
            </w:r>
          </w:p>
        </w:tc>
        <w:tc>
          <w:tcPr>
            <w:tcW w:w="7581" w:type="dxa"/>
            <w:gridSpan w:val="3"/>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2023.11.30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ind w:firstLine="0" w:firstLineChars="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pPr>
          </w:p>
        </w:tc>
        <w:tc>
          <w:tcPr>
            <w:tcW w:w="1820" w:type="dxa"/>
            <w:tcBorders>
              <w:tl2br w:val="nil"/>
              <w:tr2bl w:val="nil"/>
            </w:tcBorders>
            <w:shd w:val="clear" w:color="auto" w:fill="auto"/>
            <w:vAlign w:val="center"/>
          </w:tcPr>
          <w:p>
            <w:pPr>
              <w:pStyle w:val="22"/>
              <w:bidi w:val="0"/>
              <w:ind w:firstLine="0" w:firstLineChars="0"/>
            </w:pPr>
            <w:r>
              <w:t>姓名</w:t>
            </w:r>
          </w:p>
        </w:tc>
        <w:tc>
          <w:tcPr>
            <w:tcW w:w="3864" w:type="dxa"/>
            <w:tcBorders>
              <w:tl2br w:val="nil"/>
              <w:tr2bl w:val="nil"/>
            </w:tcBorders>
            <w:shd w:val="clear" w:color="auto" w:fill="auto"/>
            <w:vAlign w:val="center"/>
          </w:tcPr>
          <w:p>
            <w:pPr>
              <w:pStyle w:val="22"/>
              <w:bidi w:val="0"/>
              <w:ind w:firstLine="0" w:firstLineChars="0"/>
            </w:pPr>
            <w:r>
              <w:t>资格证书号</w:t>
            </w:r>
          </w:p>
        </w:tc>
        <w:tc>
          <w:tcPr>
            <w:tcW w:w="1897" w:type="dxa"/>
            <w:tcBorders>
              <w:tl2br w:val="nil"/>
              <w:tr2bl w:val="nil"/>
            </w:tcBorders>
            <w:shd w:val="clear" w:color="auto" w:fill="auto"/>
            <w:vAlign w:val="center"/>
          </w:tcPr>
          <w:p>
            <w:pPr>
              <w:pStyle w:val="22"/>
              <w:bidi w:val="0"/>
              <w:ind w:firstLine="0" w:firstLineChars="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ind w:firstLine="0" w:firstLineChars="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sz w:val="24"/>
                <w:szCs w:val="24"/>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sz w:val="24"/>
                <w:szCs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ind w:firstLine="0" w:firstLineChars="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ind w:firstLine="0" w:firstLineChars="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1700000000301753</w:t>
            </w:r>
          </w:p>
        </w:tc>
        <w:tc>
          <w:tcPr>
            <w:tcW w:w="1897" w:type="dxa"/>
            <w:tcBorders>
              <w:tl2br w:val="nil"/>
              <w:tr2bl w:val="nil"/>
            </w:tcBorders>
            <w:shd w:val="clear" w:color="auto" w:fill="auto"/>
            <w:vAlign w:val="center"/>
          </w:tcPr>
          <w:p>
            <w:pPr>
              <w:pStyle w:val="22"/>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ind w:firstLine="0" w:firstLineChars="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ind w:firstLine="0" w:firstLineChars="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ind w:firstLine="0" w:firstLineChars="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pPr>
            <w:r>
              <w:t>技术专家</w:t>
            </w:r>
          </w:p>
        </w:tc>
        <w:tc>
          <w:tcPr>
            <w:tcW w:w="7581" w:type="dxa"/>
            <w:gridSpan w:val="3"/>
            <w:tcBorders>
              <w:tl2br w:val="nil"/>
              <w:tr2bl w:val="nil"/>
            </w:tcBorders>
            <w:shd w:val="clear" w:color="auto" w:fill="auto"/>
            <w:vAlign w:val="center"/>
          </w:tcPr>
          <w:p>
            <w:pPr>
              <w:pStyle w:val="22"/>
              <w:bidi w:val="0"/>
              <w:ind w:firstLine="0" w:firstLineChars="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pPr>
            <w:r>
              <w:t>现场勘察人员及时间</w:t>
            </w:r>
          </w:p>
        </w:tc>
        <w:tc>
          <w:tcPr>
            <w:tcW w:w="7581" w:type="dxa"/>
            <w:gridSpan w:val="3"/>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杨尚达、郦旭锋 2023.06.11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ind w:firstLine="0" w:firstLineChars="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ind w:firstLine="0" w:firstLineChars="0"/>
            </w:pPr>
            <w:r>
              <w:t>项目简介</w:t>
            </w:r>
          </w:p>
        </w:tc>
        <w:tc>
          <w:tcPr>
            <w:tcW w:w="7581" w:type="dxa"/>
            <w:gridSpan w:val="3"/>
            <w:tcBorders>
              <w:tl2br w:val="nil"/>
              <w:tr2bl w:val="nil"/>
            </w:tcBorders>
            <w:shd w:val="clear" w:color="auto" w:fill="auto"/>
            <w:vAlign w:val="top"/>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 xml:space="preserve">   为贯彻“安全第一，预防为主，综合治理”的安全生产方针，落实《中华人民共和国安全生产法》、《危险化学品安全管理条例》及《危险化学品建设项目安全监督管理办法》原（国家安全生产监督管理总局令第45号)、《贵州省危险化学品建设项目安全监督管理实施细则》（原黔安监管三 〔2018〕3号）等国家法律、法规的有关要求，推进中国石化销售股份有限公司贵州贵阳开阳楠木渡加油站建设项目在设计上实现本质安全化，山东新安达工程咨询有限公司受中国石化销售股份有限公司贵州贵阳石油分公司的委托，对中国石化销售股份有限公司贵州贵阳开阳楠木渡加油站迁建项目进行安全条件评价。</w:t>
            </w:r>
          </w:p>
          <w:p>
            <w:pPr>
              <w:pStyle w:val="22"/>
              <w:bidi w:val="0"/>
              <w:ind w:firstLine="480" w:firstLineChars="200"/>
              <w:rPr>
                <w:rFonts w:hint="eastAsia"/>
                <w:lang w:eastAsia="zh-CN"/>
              </w:rPr>
            </w:pPr>
            <w:r>
              <w:rPr>
                <w:rFonts w:hint="eastAsia"/>
                <w:lang w:eastAsia="zh-CN"/>
              </w:rPr>
              <w:t>评价结论：中国石化销售股份有限公司贵州贵阳开阳楠木渡加油站迁建项目采用的工艺成熟，技术安全可靠，项目选址和总体布局能符合国家有关法律、行政法规、部门规章和标准、规范的要求；具备相关法律法规的安全条件。</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bidi w:val="0"/>
              <w:jc w:val="both"/>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4052570" cy="2758440"/>
                  <wp:effectExtent l="0" t="0" r="5080" b="3810"/>
                  <wp:docPr id="23" name="图片 23"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检查 (3)"/>
                          <pic:cNvPicPr>
                            <a:picLocks noChangeAspect="1"/>
                          </pic:cNvPicPr>
                        </pic:nvPicPr>
                        <pic:blipFill>
                          <a:blip r:embed="rId26"/>
                          <a:stretch>
                            <a:fillRect/>
                          </a:stretch>
                        </pic:blipFill>
                        <pic:spPr>
                          <a:xfrm>
                            <a:off x="0" y="0"/>
                            <a:ext cx="4052570" cy="2758440"/>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4077335" cy="2524760"/>
                  <wp:effectExtent l="0" t="0" r="18415" b="8890"/>
                  <wp:docPr id="24" name="图片 24"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检查 (2)"/>
                          <pic:cNvPicPr>
                            <a:picLocks noChangeAspect="1"/>
                          </pic:cNvPicPr>
                        </pic:nvPicPr>
                        <pic:blipFill>
                          <a:blip r:embed="rId27"/>
                          <a:stretch>
                            <a:fillRect/>
                          </a:stretch>
                        </pic:blipFill>
                        <pic:spPr>
                          <a:xfrm>
                            <a:off x="0" y="0"/>
                            <a:ext cx="4077335" cy="2524760"/>
                          </a:xfrm>
                          <a:prstGeom prst="rect">
                            <a:avLst/>
                          </a:prstGeom>
                        </pic:spPr>
                      </pic:pic>
                    </a:graphicData>
                  </a:graphic>
                </wp:inline>
              </w:drawing>
            </w:r>
          </w:p>
          <w:p>
            <w:pPr>
              <w:bidi w:val="0"/>
              <w:rPr>
                <w:rFonts w:hint="default"/>
                <w:lang w:val="en-US" w:eastAsia="zh-CN"/>
              </w:rPr>
            </w:pPr>
            <w:r>
              <w:rPr>
                <w:rFonts w:hint="default"/>
                <w:lang w:val="en-US" w:eastAsia="zh-CN"/>
              </w:rPr>
              <w:drawing>
                <wp:inline distT="0" distB="0" distL="114300" distR="114300">
                  <wp:extent cx="4039235" cy="2467610"/>
                  <wp:effectExtent l="0" t="0" r="18415" b="8890"/>
                  <wp:docPr id="25" name="图片 25"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检查 (1)"/>
                          <pic:cNvPicPr>
                            <a:picLocks noChangeAspect="1"/>
                          </pic:cNvPicPr>
                        </pic:nvPicPr>
                        <pic:blipFill>
                          <a:blip r:embed="rId28"/>
                          <a:stretch>
                            <a:fillRect/>
                          </a:stretch>
                        </pic:blipFill>
                        <pic:spPr>
                          <a:xfrm>
                            <a:off x="0" y="0"/>
                            <a:ext cx="4039235" cy="2467610"/>
                          </a:xfrm>
                          <a:prstGeom prst="rect">
                            <a:avLst/>
                          </a:prstGeom>
                        </pic:spPr>
                      </pic:pic>
                    </a:graphicData>
                  </a:graphic>
                </wp:inline>
              </w:drawing>
            </w:r>
          </w:p>
          <w:p>
            <w:pPr>
              <w:rPr>
                <w:rFonts w:hint="default"/>
                <w:lang w:val="en-US" w:eastAsia="zh-CN"/>
              </w:rPr>
            </w:pP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凯里天晟石化发展有限责任公司凯里杭州路加油站</w:t>
            </w:r>
          </w:p>
          <w:p>
            <w:pPr>
              <w:pStyle w:val="22"/>
              <w:bidi w:val="0"/>
              <w:rPr>
                <w:rFonts w:hint="eastAsia" w:eastAsia="宋体"/>
                <w:lang w:val="en-US" w:eastAsia="zh-CN"/>
              </w:rPr>
            </w:pPr>
            <w:r>
              <w:rPr>
                <w:rFonts w:hint="eastAsia"/>
                <w:lang w:eastAsia="zh-CN"/>
              </w:rPr>
              <w:t>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bidi w:val="0"/>
              <w:ind w:firstLine="480" w:firstLineChars="200"/>
              <w:rPr>
                <w:rFonts w:hint="eastAsia"/>
                <w:lang w:eastAsia="zh-CN"/>
              </w:rPr>
            </w:pPr>
            <w:r>
              <w:rPr>
                <w:rFonts w:hint="eastAsia"/>
                <w:lang w:eastAsia="zh-CN"/>
              </w:rPr>
              <w:t>凯里天晟石化发展有限责任公司是中国石化销售股份有限公司贵州黔东南石油分公司与凯里市扶贫开发投资有限责任公司的合资公司，凯里杭州路加油站是凯里天晟石化发展有限责任公司投资建设的新建加油站，该新建站位于黔东南州凯里市杭州路北侧（兴安社区西北约130m），建设项目于2022年10月17日取得黔东南州应急管理局核发的《危险化学品建设项目安全设施设计审查意见书》（黔东南危化项目安设审字〔2022〕18号），于2023年10月建设完成，加油站加油区设置安装1台六枪潜油泵型加油机（2枪92#汽油、2枪95#汽油、2枪98#汽油），1台四枪潜油泵型加油机（2枪92#汽油、2枪95#汽油）；1台两枪潜油泵型加油机（2枪均为0#柴油，其中1枪为大流量）。加油站储罐区设置在加油区车行道下方，为承重结构，罐区设置3座40m³的SF双层卧式埋地储油罐（1座92#汽油罐、1座95#汽油罐、1座98#汽油罐），设一座50m³SF双层卧式埋地储油罐（0#柴油罐），总容积折算之后为145m³（柴油折半），为二级加油站。</w:t>
            </w:r>
          </w:p>
          <w:p>
            <w:pPr>
              <w:pStyle w:val="22"/>
              <w:bidi w:val="0"/>
              <w:ind w:firstLine="480" w:firstLineChars="200"/>
            </w:pPr>
            <w:r>
              <w:rPr>
                <w:rFonts w:hint="eastAsia"/>
                <w:lang w:eastAsia="zh-CN"/>
              </w:rPr>
              <w:t>评价结论：凯里天晟石化发展有限责任公司凯里杭州路加油站新建项目符合国家有关法律、行政法规、部门规章和标准、规范、规程的要求，达到安全设施竣工验收条件。</w:t>
            </w:r>
          </w:p>
          <w:p>
            <w:pPr>
              <w:pStyle w:val="22"/>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jc w:val="both"/>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3917950" cy="2785110"/>
                  <wp:effectExtent l="0" t="0" r="6350" b="15240"/>
                  <wp:docPr id="26" name="图片 26"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检查 (1)"/>
                          <pic:cNvPicPr>
                            <a:picLocks noChangeAspect="1"/>
                          </pic:cNvPicPr>
                        </pic:nvPicPr>
                        <pic:blipFill>
                          <a:blip r:embed="rId29"/>
                          <a:stretch>
                            <a:fillRect/>
                          </a:stretch>
                        </pic:blipFill>
                        <pic:spPr>
                          <a:xfrm>
                            <a:off x="0" y="0"/>
                            <a:ext cx="3917950" cy="278511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863340" cy="2265045"/>
                  <wp:effectExtent l="0" t="0" r="3810" b="1905"/>
                  <wp:docPr id="27" name="图片 27" descr="考察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考察 (12)"/>
                          <pic:cNvPicPr>
                            <a:picLocks noChangeAspect="1"/>
                          </pic:cNvPicPr>
                        </pic:nvPicPr>
                        <pic:blipFill>
                          <a:blip r:embed="rId30"/>
                          <a:stretch>
                            <a:fillRect/>
                          </a:stretch>
                        </pic:blipFill>
                        <pic:spPr>
                          <a:xfrm>
                            <a:off x="0" y="0"/>
                            <a:ext cx="3863340" cy="226504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47160" cy="2624455"/>
                  <wp:effectExtent l="0" t="0" r="15240" b="4445"/>
                  <wp:docPr id="28" name="图片 28"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检查 (2)"/>
                          <pic:cNvPicPr>
                            <a:picLocks noChangeAspect="1"/>
                          </pic:cNvPicPr>
                        </pic:nvPicPr>
                        <pic:blipFill>
                          <a:blip r:embed="rId31"/>
                          <a:stretch>
                            <a:fillRect/>
                          </a:stretch>
                        </pic:blipFill>
                        <pic:spPr>
                          <a:xfrm>
                            <a:off x="0" y="0"/>
                            <a:ext cx="3947160" cy="2624455"/>
                          </a:xfrm>
                          <a:prstGeom prst="rect">
                            <a:avLst/>
                          </a:prstGeom>
                        </pic:spPr>
                      </pic:pic>
                    </a:graphicData>
                  </a:graphic>
                </wp:inline>
              </w:drawing>
            </w:r>
          </w:p>
          <w:p>
            <w:pPr>
              <w:pStyle w:val="22"/>
              <w:bidi w:val="0"/>
              <w:rPr>
                <w:rFonts w:hint="default"/>
                <w:lang w:val="en-US" w:eastAsia="zh-CN"/>
              </w:rPr>
            </w:pPr>
          </w:p>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项目名称</w:t>
            </w:r>
          </w:p>
        </w:tc>
        <w:tc>
          <w:tcPr>
            <w:tcW w:w="7581" w:type="dxa"/>
            <w:gridSpan w:val="3"/>
            <w:tcBorders>
              <w:tl2br w:val="nil"/>
              <w:tr2bl w:val="nil"/>
            </w:tcBorders>
            <w:shd w:val="clear" w:color="auto" w:fill="auto"/>
            <w:vAlign w:val="center"/>
          </w:tcPr>
          <w:p>
            <w:pPr>
              <w:pStyle w:val="22"/>
              <w:bidi w:val="0"/>
              <w:rPr>
                <w:rFonts w:hint="eastAsia"/>
                <w:lang w:eastAsia="zh-CN"/>
              </w:rPr>
            </w:pPr>
            <w:r>
              <w:rPr>
                <w:rFonts w:hint="eastAsia"/>
                <w:lang w:eastAsia="zh-CN"/>
              </w:rPr>
              <w:t>中国石化销售股份有限公司贵州黔东南石油分公司麻江官井加油站</w:t>
            </w:r>
          </w:p>
          <w:p>
            <w:pPr>
              <w:pStyle w:val="22"/>
              <w:bidi w:val="0"/>
              <w:rPr>
                <w:rFonts w:hint="eastAsia" w:eastAsia="宋体"/>
                <w:lang w:val="en-US" w:eastAsia="zh-CN"/>
              </w:rPr>
            </w:pPr>
            <w:r>
              <w:rPr>
                <w:rFonts w:hint="eastAsia"/>
                <w:lang w:eastAsia="zh-CN"/>
              </w:rPr>
              <w:t>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完成时间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2023.11.30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2"/>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pPr>
            <w:r>
              <w:t>姓名</w:t>
            </w:r>
          </w:p>
        </w:tc>
        <w:tc>
          <w:tcPr>
            <w:tcW w:w="3864" w:type="dxa"/>
            <w:tcBorders>
              <w:tl2br w:val="nil"/>
              <w:tr2bl w:val="nil"/>
            </w:tcBorders>
            <w:shd w:val="clear" w:color="auto" w:fill="auto"/>
            <w:vAlign w:val="center"/>
          </w:tcPr>
          <w:p>
            <w:pPr>
              <w:pStyle w:val="22"/>
              <w:bidi w:val="0"/>
            </w:pPr>
            <w:r>
              <w:t>资格证书号</w:t>
            </w:r>
          </w:p>
        </w:tc>
        <w:tc>
          <w:tcPr>
            <w:tcW w:w="1897" w:type="dxa"/>
            <w:tcBorders>
              <w:tl2br w:val="nil"/>
              <w:tr2bl w:val="nil"/>
            </w:tcBorders>
            <w:shd w:val="clear" w:color="auto" w:fill="auto"/>
            <w:vAlign w:val="center"/>
          </w:tcPr>
          <w:p>
            <w:pPr>
              <w:pStyle w:val="22"/>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项目负责人</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杨尚达</w:t>
            </w:r>
          </w:p>
        </w:tc>
        <w:tc>
          <w:tcPr>
            <w:tcW w:w="3864" w:type="dxa"/>
            <w:tcBorders>
              <w:tl2br w:val="nil"/>
              <w:tr2bl w:val="nil"/>
            </w:tcBorders>
            <w:shd w:val="clear" w:color="auto" w:fill="auto"/>
            <w:vAlign w:val="center"/>
          </w:tcPr>
          <w:p>
            <w:pPr>
              <w:pStyle w:val="22"/>
              <w:bidi w:val="0"/>
              <w:ind w:firstLine="0" w:firstLineChars="0"/>
            </w:pPr>
            <w:r>
              <w:rPr>
                <w:rFonts w:hint="eastAsia"/>
                <w:lang w:val="en-US" w:eastAsia="zh-CN"/>
              </w:rPr>
              <w:t>S011053000110202001798</w:t>
            </w:r>
          </w:p>
        </w:tc>
        <w:tc>
          <w:tcPr>
            <w:tcW w:w="1897" w:type="dxa"/>
            <w:tcBorders>
              <w:tl2br w:val="nil"/>
              <w:tr2bl w:val="nil"/>
            </w:tcBorders>
            <w:shd w:val="clear" w:color="auto" w:fill="auto"/>
            <w:vAlign w:val="center"/>
          </w:tcPr>
          <w:p>
            <w:pPr>
              <w:pStyle w:val="22"/>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22"/>
              <w:bidi w:val="0"/>
            </w:pPr>
            <w:r>
              <w:t>项目组成员</w:t>
            </w: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2"/>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2"/>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2"/>
              <w:bidi w:val="0"/>
              <w:ind w:firstLine="0" w:firstLineChars="0"/>
              <w:rPr>
                <w:rFonts w:hint="eastAsia"/>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2"/>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2"/>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2"/>
              <w:bidi w:val="0"/>
              <w:ind w:firstLine="0" w:firstLineChars="0"/>
            </w:pPr>
            <w:r>
              <w:rPr>
                <w:rFonts w:hint="eastAsia"/>
              </w:rPr>
              <w:t>1700000000301699</w:t>
            </w:r>
          </w:p>
        </w:tc>
        <w:tc>
          <w:tcPr>
            <w:tcW w:w="1897" w:type="dxa"/>
            <w:tcBorders>
              <w:tl2br w:val="nil"/>
              <w:tr2bl w:val="nil"/>
            </w:tcBorders>
            <w:shd w:val="clear" w:color="auto" w:fill="auto"/>
            <w:vAlign w:val="center"/>
          </w:tcPr>
          <w:p>
            <w:pPr>
              <w:pStyle w:val="22"/>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22"/>
              <w:bidi w:val="0"/>
            </w:pPr>
          </w:p>
        </w:tc>
        <w:tc>
          <w:tcPr>
            <w:tcW w:w="1820"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2"/>
              <w:bidi w:val="0"/>
              <w:ind w:firstLine="0" w:firstLineChars="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2"/>
              <w:bidi w:val="0"/>
              <w:ind w:firstLine="0" w:firstLineChars="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技术专家</w:t>
            </w:r>
          </w:p>
        </w:tc>
        <w:tc>
          <w:tcPr>
            <w:tcW w:w="7581" w:type="dxa"/>
            <w:gridSpan w:val="3"/>
            <w:tcBorders>
              <w:tl2br w:val="nil"/>
              <w:tr2bl w:val="nil"/>
            </w:tcBorders>
            <w:shd w:val="clear" w:color="auto" w:fill="auto"/>
            <w:vAlign w:val="center"/>
          </w:tcPr>
          <w:p>
            <w:pPr>
              <w:pStyle w:val="22"/>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现场勘察人员及时间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杨尚达、郦旭锋 2023.11.9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22"/>
              <w:bidi w:val="0"/>
            </w:pPr>
            <w:r>
              <w:t>项目简介</w:t>
            </w:r>
          </w:p>
        </w:tc>
        <w:tc>
          <w:tcPr>
            <w:tcW w:w="7581" w:type="dxa"/>
            <w:gridSpan w:val="3"/>
            <w:tcBorders>
              <w:tl2br w:val="nil"/>
              <w:tr2bl w:val="nil"/>
            </w:tcBorders>
            <w:shd w:val="clear" w:color="auto" w:fill="auto"/>
            <w:vAlign w:val="top"/>
          </w:tcPr>
          <w:p>
            <w:pPr>
              <w:pStyle w:val="22"/>
              <w:bidi w:val="0"/>
              <w:ind w:firstLine="480" w:firstLineChars="200"/>
              <w:rPr>
                <w:rFonts w:hint="eastAsia"/>
                <w:lang w:eastAsia="zh-CN"/>
              </w:rPr>
            </w:pPr>
            <w:r>
              <w:rPr>
                <w:rFonts w:hint="eastAsia"/>
                <w:lang w:eastAsia="zh-CN"/>
              </w:rPr>
              <w:t>中国石化销售股份有限公司贵州黔东南石油分公司麻江官井加油站是中国石化销售股份有限公司贵州黔东南石油分公司投资建设的新建加油站，该新建站位于贵州省黔东南苗族侗族自治州麻江县金竹街道中坝村两板凳320国道北侧，建设项目于2023年7月11日取得黔东南州应急管理局核发的《危险化学品建设项目安全设施设计审查意见书》（黔东南危化项目安设审字〔2023〕12号），于2023年10月建设完成，加油站加油区设置安装1台4枪汽油潜油泵型加油机（2枪92#汽油、2枪95#汽油），1台四枪汽柴油潜油泵型加油机（2枪92#汽油；2枪0#柴油，其中其中1枪为大流量柴油）。加油站储罐区设置在加油区车行道下方，为承重结构，罐区设置3座30m³的SF双层卧式埋地储油罐（1座92#汽油罐、1座95#汽油罐、1座0#柴油罐），总容积折算之后为75m³（柴油折半），为三级加油站。</w:t>
            </w:r>
          </w:p>
          <w:p>
            <w:pPr>
              <w:pStyle w:val="22"/>
              <w:bidi w:val="0"/>
              <w:ind w:firstLine="480" w:firstLineChars="200"/>
            </w:pPr>
            <w:r>
              <w:rPr>
                <w:rFonts w:hint="eastAsia"/>
                <w:lang w:eastAsia="zh-CN"/>
              </w:rPr>
              <w:t>评价结论：中国石化销售股份有限公司贵州黔东南石油分公司麻江官井加油站（新建项目）符合国家有关法律、行政法规、部门规章和标准、规范、规程的要求，达到安全设施竣工验收条件。。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现场照片</w:t>
            </w:r>
          </w:p>
        </w:tc>
        <w:tc>
          <w:tcPr>
            <w:tcW w:w="7581" w:type="dxa"/>
            <w:gridSpan w:val="3"/>
            <w:tcBorders>
              <w:tl2br w:val="nil"/>
              <w:tr2bl w:val="nil"/>
            </w:tcBorders>
            <w:shd w:val="clear" w:color="auto" w:fill="auto"/>
            <w:vAlign w:val="top"/>
          </w:tcPr>
          <w:p>
            <w:pPr>
              <w:pStyle w:val="22"/>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27475" cy="2708910"/>
                  <wp:effectExtent l="0" t="0" r="15875" b="15240"/>
                  <wp:docPr id="29" name="图片 29"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检查 (4)"/>
                          <pic:cNvPicPr>
                            <a:picLocks noChangeAspect="1"/>
                          </pic:cNvPicPr>
                        </pic:nvPicPr>
                        <pic:blipFill>
                          <a:blip r:embed="rId32"/>
                          <a:stretch>
                            <a:fillRect/>
                          </a:stretch>
                        </pic:blipFill>
                        <pic:spPr>
                          <a:xfrm>
                            <a:off x="0" y="0"/>
                            <a:ext cx="3927475" cy="270891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38270" cy="2295525"/>
                  <wp:effectExtent l="0" t="0" r="5080" b="9525"/>
                  <wp:docPr id="30" name="图片 30"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检查 (1)"/>
                          <pic:cNvPicPr>
                            <a:picLocks noChangeAspect="1"/>
                          </pic:cNvPicPr>
                        </pic:nvPicPr>
                        <pic:blipFill>
                          <a:blip r:embed="rId33"/>
                          <a:stretch>
                            <a:fillRect/>
                          </a:stretch>
                        </pic:blipFill>
                        <pic:spPr>
                          <a:xfrm>
                            <a:off x="0" y="0"/>
                            <a:ext cx="3938270" cy="2295525"/>
                          </a:xfrm>
                          <a:prstGeom prst="rect">
                            <a:avLst/>
                          </a:prstGeom>
                        </pic:spPr>
                      </pic:pic>
                    </a:graphicData>
                  </a:graphic>
                </wp:inline>
              </w:drawing>
            </w:r>
          </w:p>
          <w:p>
            <w:pPr>
              <w:pStyle w:val="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87800" cy="2570480"/>
                  <wp:effectExtent l="0" t="0" r="12700" b="1270"/>
                  <wp:docPr id="31" name="图片 31"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检查 (3)"/>
                          <pic:cNvPicPr>
                            <a:picLocks noChangeAspect="1"/>
                          </pic:cNvPicPr>
                        </pic:nvPicPr>
                        <pic:blipFill>
                          <a:blip r:embed="rId34"/>
                          <a:stretch>
                            <a:fillRect/>
                          </a:stretch>
                        </pic:blipFill>
                        <pic:spPr>
                          <a:xfrm>
                            <a:off x="0" y="0"/>
                            <a:ext cx="3987800" cy="2570480"/>
                          </a:xfrm>
                          <a:prstGeom prst="rect">
                            <a:avLst/>
                          </a:prstGeom>
                        </pic:spPr>
                      </pic:pic>
                    </a:graphicData>
                  </a:graphic>
                </wp:inline>
              </w:drawing>
            </w:r>
          </w:p>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2"/>
              <w:bidi w:val="0"/>
            </w:pPr>
            <w:r>
              <w:t>被评价单位信息反馈情况</w:t>
            </w:r>
          </w:p>
        </w:tc>
        <w:tc>
          <w:tcPr>
            <w:tcW w:w="7581" w:type="dxa"/>
            <w:gridSpan w:val="3"/>
            <w:tcBorders>
              <w:tl2br w:val="nil"/>
              <w:tr2bl w:val="nil"/>
            </w:tcBorders>
            <w:shd w:val="clear" w:color="auto" w:fill="auto"/>
            <w:vAlign w:val="center"/>
          </w:tcPr>
          <w:p>
            <w:pPr>
              <w:pStyle w:val="22"/>
              <w:bidi w:val="0"/>
            </w:pPr>
            <w:r>
              <w:t>满意</w:t>
            </w:r>
          </w:p>
        </w:tc>
      </w:tr>
    </w:tbl>
    <w:p>
      <w:pPr>
        <w:bidi w:val="0"/>
        <w:jc w:val="both"/>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UzZDM1ZmJiMDFhOGI2ZDhiOGRlMWVjNDU0MDc0YTgifQ=="/>
  </w:docVars>
  <w:rsids>
    <w:rsidRoot w:val="00E3751A"/>
    <w:rsid w:val="00047227"/>
    <w:rsid w:val="00303C12"/>
    <w:rsid w:val="004D1AF7"/>
    <w:rsid w:val="00756850"/>
    <w:rsid w:val="00C75118"/>
    <w:rsid w:val="00C82162"/>
    <w:rsid w:val="00E3751A"/>
    <w:rsid w:val="01381A2C"/>
    <w:rsid w:val="067C6F0E"/>
    <w:rsid w:val="06EF6353"/>
    <w:rsid w:val="07D32EB9"/>
    <w:rsid w:val="081A4FBE"/>
    <w:rsid w:val="0A3600A6"/>
    <w:rsid w:val="0E53337E"/>
    <w:rsid w:val="17810296"/>
    <w:rsid w:val="17C601C4"/>
    <w:rsid w:val="188D103C"/>
    <w:rsid w:val="18CA2EBE"/>
    <w:rsid w:val="1B7B2F28"/>
    <w:rsid w:val="1B9F4DB7"/>
    <w:rsid w:val="1CD17A8D"/>
    <w:rsid w:val="23356346"/>
    <w:rsid w:val="2583798D"/>
    <w:rsid w:val="25AB5CCE"/>
    <w:rsid w:val="276E1EEA"/>
    <w:rsid w:val="29925FE1"/>
    <w:rsid w:val="29F53ECF"/>
    <w:rsid w:val="2E046C06"/>
    <w:rsid w:val="2E2E1BF1"/>
    <w:rsid w:val="31722F92"/>
    <w:rsid w:val="32CC6EE2"/>
    <w:rsid w:val="372972D4"/>
    <w:rsid w:val="385C2AEB"/>
    <w:rsid w:val="3A7474D8"/>
    <w:rsid w:val="3C7D28D5"/>
    <w:rsid w:val="3D3B399E"/>
    <w:rsid w:val="3EE84724"/>
    <w:rsid w:val="41912F5E"/>
    <w:rsid w:val="42C53343"/>
    <w:rsid w:val="43C0308C"/>
    <w:rsid w:val="48EC5AF0"/>
    <w:rsid w:val="4E3D5914"/>
    <w:rsid w:val="4FE84280"/>
    <w:rsid w:val="52E07D49"/>
    <w:rsid w:val="53F37C81"/>
    <w:rsid w:val="54345BD2"/>
    <w:rsid w:val="57800B40"/>
    <w:rsid w:val="5A435025"/>
    <w:rsid w:val="5BF832F3"/>
    <w:rsid w:val="60B460AF"/>
    <w:rsid w:val="658063A7"/>
    <w:rsid w:val="66C53C4A"/>
    <w:rsid w:val="67600A2D"/>
    <w:rsid w:val="6AA57F27"/>
    <w:rsid w:val="6BD4664B"/>
    <w:rsid w:val="6CB1098B"/>
    <w:rsid w:val="6D1139EB"/>
    <w:rsid w:val="6F3D1DEF"/>
    <w:rsid w:val="6F67290E"/>
    <w:rsid w:val="737D1DEA"/>
    <w:rsid w:val="73AA2228"/>
    <w:rsid w:val="75816D2C"/>
    <w:rsid w:val="76E25EB6"/>
    <w:rsid w:val="77832F9B"/>
    <w:rsid w:val="77F93538"/>
    <w:rsid w:val="79302291"/>
    <w:rsid w:val="7AD10B53"/>
    <w:rsid w:val="7B914393"/>
    <w:rsid w:val="7C304A31"/>
    <w:rsid w:val="7EA13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4">
    <w:name w:val="heading 2"/>
    <w:basedOn w:val="1"/>
    <w:next w:val="1"/>
    <w:link w:val="23"/>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rPr>
      <w:sz w:val="28"/>
      <w:szCs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next w:val="7"/>
    <w:unhideWhenUsed/>
    <w:qFormat/>
    <w:uiPriority w:val="99"/>
    <w:pPr>
      <w:spacing w:after="120"/>
      <w:ind w:left="420" w:leftChars="200"/>
    </w:pPr>
  </w:style>
  <w:style w:type="paragraph" w:styleId="7">
    <w:name w:val="toc 3"/>
    <w:basedOn w:val="1"/>
    <w:next w:val="1"/>
    <w:qFormat/>
    <w:uiPriority w:val="0"/>
    <w:pPr>
      <w:ind w:left="420"/>
      <w:jc w:val="left"/>
    </w:pPr>
    <w:rPr>
      <w:i/>
      <w:iCs/>
      <w:sz w:val="20"/>
      <w:szCs w:val="20"/>
    </w:rPr>
  </w:style>
  <w:style w:type="paragraph" w:styleId="8">
    <w:name w:val="Block Text"/>
    <w:basedOn w:val="1"/>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9">
    <w:name w:val="List Bullet 5"/>
    <w:basedOn w:val="1"/>
    <w:qFormat/>
    <w:uiPriority w:val="0"/>
    <w:pPr>
      <w:numPr>
        <w:ilvl w:val="0"/>
        <w:numId w:val="1"/>
      </w:numPr>
    </w:pPr>
  </w:style>
  <w:style w:type="paragraph" w:styleId="10">
    <w:name w:val="Balloon Text"/>
    <w:basedOn w:val="1"/>
    <w:link w:val="27"/>
    <w:qFormat/>
    <w:uiPriority w:val="0"/>
    <w:rPr>
      <w:sz w:val="18"/>
      <w:szCs w:val="18"/>
    </w:rPr>
  </w:style>
  <w:style w:type="paragraph" w:styleId="11">
    <w:name w:val="footer"/>
    <w:basedOn w:val="1"/>
    <w:next w:val="12"/>
    <w:qFormat/>
    <w:uiPriority w:val="99"/>
    <w:pPr>
      <w:tabs>
        <w:tab w:val="center" w:pos="4153"/>
        <w:tab w:val="right" w:pos="8306"/>
      </w:tabs>
      <w:snapToGrid w:val="0"/>
    </w:pPr>
    <w:rPr>
      <w:sz w:val="18"/>
      <w:szCs w:val="18"/>
    </w:rPr>
  </w:style>
  <w:style w:type="paragraph" w:styleId="12">
    <w:name w:val="Normal (Web)"/>
    <w:basedOn w:val="1"/>
    <w:next w:val="13"/>
    <w:qFormat/>
    <w:uiPriority w:val="0"/>
    <w:pPr>
      <w:spacing w:before="100" w:beforeAutospacing="1" w:after="100" w:afterAutospacing="1"/>
      <w:jc w:val="left"/>
    </w:pPr>
    <w:rPr>
      <w:kern w:val="0"/>
      <w:sz w:val="24"/>
    </w:rPr>
  </w:style>
  <w:style w:type="paragraph" w:customStyle="1" w:styleId="13">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First Indent"/>
    <w:basedOn w:val="1"/>
    <w:next w:val="1"/>
    <w:qFormat/>
    <w:uiPriority w:val="0"/>
    <w:pPr>
      <w:spacing w:after="120"/>
      <w:ind w:firstLine="420" w:firstLineChars="100"/>
    </w:pPr>
  </w:style>
  <w:style w:type="paragraph" w:styleId="16">
    <w:name w:val="Body Text First Indent 2"/>
    <w:basedOn w:val="6"/>
    <w:next w:val="1"/>
    <w:unhideWhenUsed/>
    <w:qFormat/>
    <w:uiPriority w:val="99"/>
    <w:pPr>
      <w:ind w:firstLine="420" w:firstLineChars="200"/>
    </w:pPr>
  </w:style>
  <w:style w:type="character" w:styleId="19">
    <w:name w:val="annotation reference"/>
    <w:basedOn w:val="18"/>
    <w:qFormat/>
    <w:uiPriority w:val="0"/>
    <w:rPr>
      <w:sz w:val="21"/>
      <w:szCs w:val="21"/>
    </w:rPr>
  </w:style>
  <w:style w:type="paragraph" w:customStyle="1" w:styleId="20">
    <w:name w:val="Default"/>
    <w:basedOn w:val="21"/>
    <w:next w:val="1"/>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1">
    <w:name w:val="纯文本1"/>
    <w:basedOn w:val="1"/>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2">
    <w:name w:val="表格"/>
    <w:basedOn w:val="1"/>
    <w:next w:val="1"/>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character" w:customStyle="1" w:styleId="23">
    <w:name w:val="标题 2 Char"/>
    <w:link w:val="4"/>
    <w:qFormat/>
    <w:uiPriority w:val="0"/>
    <w:rPr>
      <w:rFonts w:eastAsia="楷体_GB2312" w:cs="MS Gothic"/>
      <w:b/>
      <w:snapToGrid w:val="0"/>
      <w:kern w:val="0"/>
      <w:sz w:val="32"/>
      <w:szCs w:val="28"/>
    </w:rPr>
  </w:style>
  <w:style w:type="paragraph" w:customStyle="1" w:styleId="24">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2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p0"/>
    <w:basedOn w:val="1"/>
    <w:qFormat/>
    <w:uiPriority w:val="0"/>
    <w:pPr>
      <w:widowControl/>
    </w:pPr>
    <w:rPr>
      <w:kern w:val="0"/>
      <w:szCs w:val="21"/>
    </w:rPr>
  </w:style>
  <w:style w:type="character" w:customStyle="1" w:styleId="27">
    <w:name w:val="批注框文本 Char"/>
    <w:basedOn w:val="18"/>
    <w:link w:val="10"/>
    <w:qFormat/>
    <w:uiPriority w:val="0"/>
    <w:rPr>
      <w:rFonts w:ascii="Calibri" w:hAnsi="Calibri"/>
      <w:kern w:val="2"/>
      <w:sz w:val="18"/>
      <w:szCs w:val="18"/>
    </w:rPr>
  </w:style>
  <w:style w:type="paragraph" w:customStyle="1" w:styleId="28">
    <w:name w:val="111"/>
    <w:basedOn w:val="1"/>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13527</Words>
  <Characters>19958</Characters>
  <Lines>7</Lines>
  <Paragraphs>2</Paragraphs>
  <TotalTime>3</TotalTime>
  <ScaleCrop>false</ScaleCrop>
  <LinksUpToDate>false</LinksUpToDate>
  <CharactersWithSpaces>19995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2023-12-01T08:13:57Z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3D417A7DA0144CEDA15801581E78EFE2</vt:lpwstr>
  </property>
</Properties>
</file>