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94"/>
        <w:gridCol w:w="968"/>
        <w:gridCol w:w="5339"/>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335" w:type="dxa"/>
            <w:gridSpan w:val="3"/>
            <w:tcBorders>
              <w:tl2br w:val="nil"/>
              <w:tr2bl w:val="nil"/>
            </w:tcBorders>
            <w:shd w:val="clear" w:color="auto" w:fill="FFFFFF"/>
            <w:vAlign w:val="center"/>
          </w:tcPr>
          <w:p>
            <w:pPr>
              <w:widowControl/>
              <w:spacing w:after="150"/>
              <w:jc w:val="both"/>
              <w:rPr>
                <w:rFonts w:ascii="宋体" w:hAnsi="宋体" w:cs="宋体"/>
                <w:sz w:val="24"/>
              </w:rPr>
            </w:pPr>
            <w:r>
              <w:rPr>
                <w:rFonts w:hint="eastAsia" w:ascii="宋体" w:hAnsi="宋体" w:cs="宋体"/>
                <w:sz w:val="24"/>
              </w:rPr>
              <w:t xml:space="preserve">赣州深燃天然气有限公司工业一路加气站CNG汽车加气项目安全现状评价报告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335" w:type="dxa"/>
            <w:gridSpan w:val="3"/>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03</w:t>
            </w:r>
            <w:r>
              <w:rPr>
                <w:rFonts w:hint="eastAsia" w:ascii="宋体" w:hAnsi="宋体" w:cs="宋体"/>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5339"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02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894"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项目负责人</w:t>
            </w:r>
          </w:p>
        </w:tc>
        <w:tc>
          <w:tcPr>
            <w:tcW w:w="96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黎财荣</w:t>
            </w:r>
          </w:p>
        </w:tc>
        <w:tc>
          <w:tcPr>
            <w:tcW w:w="5339"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0800000000204012</w:t>
            </w:r>
            <w:bookmarkStart w:id="0" w:name="_GoBack"/>
            <w:bookmarkEnd w:id="0"/>
          </w:p>
        </w:tc>
        <w:tc>
          <w:tcPr>
            <w:tcW w:w="20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894" w:type="dxa"/>
            <w:vMerge w:val="restart"/>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项目组成员</w:t>
            </w:r>
          </w:p>
        </w:tc>
        <w:tc>
          <w:tcPr>
            <w:tcW w:w="96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color w:val="000000"/>
                <w:kern w:val="2"/>
                <w:sz w:val="24"/>
                <w:szCs w:val="24"/>
                <w:lang w:val="en-US" w:eastAsia="zh-CN" w:bidi="ar-SA"/>
              </w:rPr>
            </w:pPr>
            <w:r>
              <w:rPr>
                <w:rFonts w:hint="eastAsia"/>
                <w:color w:val="000000"/>
                <w:sz w:val="24"/>
              </w:rPr>
              <w:t>钟  琼</w:t>
            </w:r>
          </w:p>
        </w:tc>
        <w:tc>
          <w:tcPr>
            <w:tcW w:w="5339"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color w:val="000000"/>
                <w:kern w:val="2"/>
                <w:sz w:val="24"/>
                <w:szCs w:val="24"/>
                <w:lang w:val="en-US" w:eastAsia="zh-CN" w:bidi="ar-SA"/>
              </w:rPr>
            </w:pPr>
            <w:r>
              <w:rPr>
                <w:rFonts w:hint="default"/>
                <w:color w:val="000000"/>
                <w:sz w:val="24"/>
              </w:rPr>
              <w:t>S011035000110202001349</w:t>
            </w:r>
          </w:p>
        </w:tc>
        <w:tc>
          <w:tcPr>
            <w:tcW w:w="20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color w:val="000000"/>
                <w:kern w:val="2"/>
                <w:sz w:val="24"/>
                <w:szCs w:val="24"/>
                <w:lang w:val="en-US" w:eastAsia="zh-CN" w:bidi="ar-SA"/>
              </w:rPr>
            </w:pPr>
            <w:r>
              <w:rPr>
                <w:rFonts w:hint="default"/>
                <w:color w:val="000000"/>
                <w:sz w:val="24"/>
              </w:rPr>
              <w:t>041801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韦根远</w:t>
            </w:r>
          </w:p>
        </w:tc>
        <w:tc>
          <w:tcPr>
            <w:tcW w:w="5339"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 xml:space="preserve">S011044000110191001083  </w:t>
            </w:r>
          </w:p>
        </w:tc>
        <w:tc>
          <w:tcPr>
            <w:tcW w:w="20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陈武斌</w:t>
            </w:r>
          </w:p>
        </w:tc>
        <w:tc>
          <w:tcPr>
            <w:tcW w:w="5339"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1100000000300371</w:t>
            </w:r>
          </w:p>
        </w:tc>
        <w:tc>
          <w:tcPr>
            <w:tcW w:w="20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 xml:space="preserve"> 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hint="default" w:ascii="Calibri" w:hAnsi="Calibri" w:eastAsia="宋体" w:cs="Times New Roman"/>
                <w:kern w:val="2"/>
                <w:sz w:val="24"/>
                <w:szCs w:val="24"/>
                <w:lang w:val="en-US" w:eastAsia="zh-CN" w:bidi="ar-SA"/>
              </w:rPr>
            </w:pPr>
            <w:r>
              <w:rPr>
                <w:rFonts w:hint="eastAsia"/>
                <w:sz w:val="24"/>
              </w:rPr>
              <w:t>张晋慧</w:t>
            </w:r>
          </w:p>
        </w:tc>
        <w:tc>
          <w:tcPr>
            <w:tcW w:w="5339"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360" w:lineRule="exact"/>
              <w:ind w:left="0" w:leftChars="0" w:right="0" w:rightChars="0" w:firstLine="0" w:firstLineChars="0"/>
              <w:jc w:val="center"/>
              <w:rPr>
                <w:rFonts w:hint="eastAsia" w:ascii="Calibri" w:hAnsi="Calibri" w:eastAsia="宋体" w:cs="Times New Roman"/>
                <w:kern w:val="2"/>
                <w:sz w:val="24"/>
                <w:szCs w:val="24"/>
                <w:lang w:val="en-US" w:eastAsia="zh-CN" w:bidi="ar-SA"/>
              </w:rPr>
            </w:pPr>
            <w:r>
              <w:rPr>
                <w:rFonts w:hint="eastAsia"/>
                <w:sz w:val="24"/>
              </w:rPr>
              <w:t xml:space="preserve">1100000000302946 </w:t>
            </w:r>
          </w:p>
        </w:tc>
        <w:tc>
          <w:tcPr>
            <w:tcW w:w="20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360" w:lineRule="exact"/>
              <w:ind w:left="0" w:leftChars="0" w:right="0" w:rightChars="0" w:firstLine="0" w:firstLineChars="0"/>
              <w:jc w:val="center"/>
              <w:rPr>
                <w:rFonts w:hint="eastAsia" w:ascii="Calibri" w:hAnsi="Calibri" w:eastAsia="宋体" w:cs="Times New Roman"/>
                <w:kern w:val="2"/>
                <w:sz w:val="24"/>
                <w:szCs w:val="24"/>
                <w:lang w:val="en-US" w:eastAsia="zh-CN" w:bidi="ar-SA"/>
              </w:rPr>
            </w:pPr>
            <w:r>
              <w:rPr>
                <w:rFonts w:hint="eastAsia"/>
                <w:sz w:val="24"/>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335" w:type="dxa"/>
            <w:gridSpan w:val="3"/>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335"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color w:val="000000"/>
                <w:sz w:val="24"/>
              </w:rPr>
              <w:t>钟琼</w:t>
            </w:r>
            <w:r>
              <w:rPr>
                <w:rFonts w:hint="eastAsia"/>
                <w:color w:val="000000"/>
                <w:sz w:val="24"/>
              </w:rPr>
              <w:t>、</w:t>
            </w:r>
            <w:r>
              <w:rPr>
                <w:sz w:val="24"/>
              </w:rPr>
              <w:t>黎财荣</w:t>
            </w:r>
            <w:r>
              <w:rPr>
                <w:rFonts w:hint="eastAsia"/>
                <w:sz w:val="24"/>
              </w:rPr>
              <w:t xml:space="preserve"> 202</w:t>
            </w:r>
            <w:r>
              <w:rPr>
                <w:rFonts w:hint="eastAsia"/>
                <w:sz w:val="24"/>
                <w:lang w:val="en-US" w:eastAsia="zh-CN"/>
              </w:rPr>
              <w:t>4</w:t>
            </w:r>
            <w:r>
              <w:rPr>
                <w:rFonts w:hint="eastAsia"/>
                <w:sz w:val="24"/>
              </w:rPr>
              <w:t>.1.</w:t>
            </w:r>
            <w:r>
              <w:rPr>
                <w:rFonts w:hint="eastAsia"/>
                <w:sz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335"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FF0000"/>
                <w:sz w:val="24"/>
                <w:lang w:val="en-US" w:eastAsia="zh-CN"/>
              </w:rPr>
            </w:pPr>
            <w:r>
              <w:rPr>
                <w:color w:val="000000"/>
                <w:sz w:val="24"/>
              </w:rPr>
              <w:t>钟琼</w:t>
            </w:r>
            <w:r>
              <w:rPr>
                <w:rFonts w:hint="eastAsia"/>
                <w:color w:val="000000"/>
                <w:sz w:val="24"/>
              </w:rPr>
              <w:t>、</w:t>
            </w:r>
            <w:r>
              <w:rPr>
                <w:sz w:val="24"/>
              </w:rPr>
              <w:t>黎财荣</w:t>
            </w:r>
            <w:r>
              <w:rPr>
                <w:rFonts w:hint="eastAsia"/>
                <w:sz w:val="24"/>
              </w:rPr>
              <w:t xml:space="preserve"> 202</w:t>
            </w:r>
            <w:r>
              <w:rPr>
                <w:rFonts w:hint="eastAsia"/>
                <w:sz w:val="24"/>
                <w:lang w:val="en-US" w:eastAsia="zh-CN"/>
              </w:rPr>
              <w:t>4</w:t>
            </w:r>
            <w:r>
              <w:rPr>
                <w:rFonts w:hint="eastAsia"/>
                <w:sz w:val="24"/>
              </w:rPr>
              <w:t>.</w:t>
            </w:r>
            <w:r>
              <w:rPr>
                <w:rFonts w:hint="eastAsia"/>
                <w:sz w:val="24"/>
                <w:lang w:val="en-US" w:eastAsia="zh-CN"/>
              </w:rPr>
              <w:t>3</w:t>
            </w:r>
            <w:r>
              <w:rPr>
                <w:rFonts w:hint="eastAsia"/>
                <w:sz w:val="24"/>
              </w:rPr>
              <w:t>.</w:t>
            </w:r>
            <w:r>
              <w:rPr>
                <w:rFonts w:hint="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335" w:type="dxa"/>
            <w:gridSpan w:val="3"/>
            <w:tcBorders>
              <w:tl2br w:val="nil"/>
              <w:tr2bl w:val="nil"/>
            </w:tcBorders>
            <w:shd w:val="clear" w:color="auto" w:fill="FFFFFF"/>
          </w:tcPr>
          <w:p>
            <w:pPr>
              <w:ind w:firstLine="560"/>
              <w:rPr>
                <w:rFonts w:hint="eastAsia" w:eastAsia="宋体"/>
                <w:sz w:val="24"/>
                <w:lang w:eastAsia="zh-CN"/>
              </w:rPr>
            </w:pPr>
            <w:r>
              <w:rPr>
                <w:rFonts w:hint="eastAsia"/>
                <w:sz w:val="24"/>
              </w:rPr>
              <w:t>赣州深燃天然气有限公司所属的工业一路CNG加气站，位于江西省赣州市赣州经济技术开发区工业一路38号，成立日期：2019年01月31日，统一社会信用代码：91360700MA38CK9Y5N，主营业务为燃气汽车加注天然气。2021年03月30该加气站取得了由赣州市行政审批局颁发的《燃气经营许可证》，证书编号为：赣20180501002J，有效期至2024年03月29日；该站取得了由江西省市场监督管理局颁发的《移动式压力容器/气瓶充装许可证》，编号为：TS9236043-2027</w:t>
            </w:r>
            <w:r>
              <w:rPr>
                <w:rFonts w:hint="eastAsia"/>
                <w:sz w:val="24"/>
                <w:lang w:eastAsia="zh-CN"/>
              </w:rPr>
              <w:t>。</w:t>
            </w:r>
          </w:p>
          <w:p>
            <w:pPr>
              <w:ind w:firstLine="560"/>
              <w:rPr>
                <w:rFonts w:hint="eastAsia"/>
                <w:sz w:val="24"/>
              </w:rPr>
            </w:pPr>
            <w:r>
              <w:rPr>
                <w:rFonts w:hint="eastAsia"/>
                <w:sz w:val="24"/>
              </w:rPr>
              <w:t>受赣州深燃天然气有限公司的委托, 山东新安达工程咨询有限公司承担其气站的安全现状评价工作，于2024年02月04日,组成评价小组到该气站对项目工程现场进行了实地调查，查阅分析了企业提供的技术资料。在上述工作的基础上编制完成本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38" w:hRule="atLeast"/>
          <w:jc w:val="center"/>
        </w:trPr>
        <w:tc>
          <w:tcPr>
            <w:tcW w:w="894" w:type="dxa"/>
            <w:tcBorders>
              <w:tl2br w:val="nil"/>
              <w:tr2bl w:val="nil"/>
            </w:tcBorders>
            <w:shd w:val="clear" w:color="auto" w:fill="FFFFFF"/>
            <w:vAlign w:val="center"/>
          </w:tcPr>
          <w:p>
            <w:pPr>
              <w:widowControl/>
              <w:spacing w:after="150"/>
              <w:jc w:val="center"/>
            </w:pPr>
            <w:r>
              <w:rPr>
                <w:rFonts w:hint="eastAsia"/>
                <w:sz w:val="24"/>
              </w:rPr>
              <w:t>工艺流程</w:t>
            </w:r>
          </w:p>
        </w:tc>
        <w:tc>
          <w:tcPr>
            <w:tcW w:w="8335" w:type="dxa"/>
            <w:gridSpan w:val="3"/>
            <w:tcBorders>
              <w:tl2br w:val="nil"/>
              <w:tr2bl w:val="nil"/>
            </w:tcBorders>
            <w:shd w:val="clear" w:color="auto" w:fill="FFFFFF"/>
          </w:tcPr>
          <w:p>
            <w:pPr>
              <w:bidi w:val="0"/>
              <w:ind w:firstLine="480" w:firstLineChars="200"/>
              <w:jc w:val="left"/>
              <w:rPr>
                <w:rFonts w:hint="eastAsia" w:eastAsia="宋体"/>
                <w:lang w:eastAsia="zh-CN"/>
              </w:rPr>
            </w:pPr>
            <w:r>
              <w:rPr>
                <w:rFonts w:hint="eastAsia" w:ascii="宋体" w:hAnsi="宋体"/>
                <w:sz w:val="24"/>
              </w:rPr>
              <w:t>本工程气源是接受外来管道输送的高压天然气，接入该站的调压撬汇管，压力为1.6MPa，经过滤、计量、加压、加臭后送至顺序控制盘，尔后分为四路，其中三路根据加压后气体压力的高低分别送至高、中、低压储气井，再通过加气机给汽车加气;另外一路直接通过加气机给汽车加气</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335" w:type="dxa"/>
            <w:gridSpan w:val="3"/>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r>
        <w:br w:type="page"/>
      </w:r>
    </w:p>
    <w:p/>
    <w:p/>
    <w:p>
      <w:pPr>
        <w:pStyle w:val="22"/>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7960" cy="3950335"/>
            <wp:effectExtent l="0" t="0" r="8890" b="12065"/>
            <wp:docPr id="48" name="图片 48" descr="bdba324fff8b6a85893e2dcbed1d2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bdba324fff8b6a85893e2dcbed1d28d"/>
                    <pic:cNvPicPr>
                      <a:picLocks noChangeAspect="1"/>
                    </pic:cNvPicPr>
                  </pic:nvPicPr>
                  <pic:blipFill>
                    <a:blip r:embed="rId4"/>
                    <a:stretch>
                      <a:fillRect/>
                    </a:stretch>
                  </pic:blipFill>
                  <pic:spPr>
                    <a:xfrm>
                      <a:off x="0" y="0"/>
                      <a:ext cx="5267960" cy="3950335"/>
                    </a:xfrm>
                    <a:prstGeom prst="rect">
                      <a:avLst/>
                    </a:prstGeom>
                  </pic:spPr>
                </pic:pic>
              </a:graphicData>
            </a:graphic>
          </wp:inline>
        </w:drawing>
      </w:r>
      <w:r>
        <w:rPr>
          <w:rFonts w:hint="eastAsia" w:eastAsia="宋体"/>
          <w:lang w:eastAsia="zh-CN"/>
        </w:rPr>
        <w:br w:type="page"/>
      </w:r>
      <w:r>
        <w:rPr>
          <w:rFonts w:hint="eastAsia" w:eastAsia="宋体"/>
          <w:lang w:eastAsia="zh-CN"/>
        </w:rPr>
        <w:drawing>
          <wp:inline distT="0" distB="0" distL="114300" distR="114300">
            <wp:extent cx="5267960" cy="3950335"/>
            <wp:effectExtent l="0" t="0" r="8890" b="12065"/>
            <wp:docPr id="45" name="图片 45" descr="9ec12f792e2a7dab8107fff62c6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9ec12f792e2a7dab8107fff62c66254"/>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br w:type="page"/>
      </w:r>
    </w:p>
    <w:p>
      <w:pPr>
        <w:rPr>
          <w:rFonts w:hint="eastAsia" w:eastAsia="宋体"/>
          <w:lang w:eastAsia="zh-CN"/>
        </w:rPr>
      </w:pPr>
    </w:p>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94"/>
        <w:gridCol w:w="968"/>
        <w:gridCol w:w="5339"/>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335" w:type="dxa"/>
            <w:gridSpan w:val="3"/>
            <w:tcBorders>
              <w:tl2br w:val="nil"/>
              <w:tr2bl w:val="nil"/>
            </w:tcBorders>
            <w:shd w:val="clear" w:color="auto" w:fill="FFFFFF"/>
            <w:vAlign w:val="center"/>
          </w:tcPr>
          <w:p>
            <w:pPr>
              <w:widowControl/>
              <w:spacing w:after="150"/>
              <w:jc w:val="both"/>
              <w:rPr>
                <w:rFonts w:ascii="宋体" w:hAnsi="宋体" w:cs="宋体"/>
                <w:sz w:val="24"/>
              </w:rPr>
            </w:pPr>
            <w:r>
              <w:rPr>
                <w:rFonts w:hint="eastAsia"/>
              </w:rPr>
              <w:t>大余金峰工贸有限公司7000t/a硫化铵生产项目（在役装置调整产品储存方式）安全设施变更设计验收评价报告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335" w:type="dxa"/>
            <w:gridSpan w:val="3"/>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03</w:t>
            </w:r>
            <w:r>
              <w:rPr>
                <w:rFonts w:hint="eastAsia" w:ascii="宋体" w:hAnsi="宋体" w:cs="宋体"/>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5339"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02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894"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项目负责人</w:t>
            </w: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ascii="Calibri" w:hAnsi="Calibri"/>
                <w:sz w:val="24"/>
              </w:rPr>
              <w:t>黎财荣</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sz w:val="24"/>
                <w:szCs w:val="22"/>
              </w:rPr>
              <w:t>0800000000204012</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sz w:val="24"/>
                <w:szCs w:val="22"/>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894" w:type="dxa"/>
            <w:vMerge w:val="restart"/>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项目组成员</w:t>
            </w: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ascii="Calibri" w:hAnsi="Calibri"/>
                <w:color w:val="000000"/>
                <w:sz w:val="24"/>
              </w:rPr>
              <w:t>钟  琼</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color w:val="000000"/>
                <w:sz w:val="24"/>
              </w:rPr>
              <w:t>S011035000110202001349</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color w:val="000000"/>
                <w:sz w:val="24"/>
              </w:rPr>
              <w:t>041801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ascii="Calibri" w:hAnsi="Calibri"/>
                <w:sz w:val="24"/>
                <w:szCs w:val="22"/>
              </w:rPr>
              <w:t>韦根远</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ascii="Calibri" w:hAnsi="Calibri"/>
                <w:sz w:val="24"/>
                <w:szCs w:val="22"/>
              </w:rPr>
              <w:t xml:space="preserve">S011044000110191001083  </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ascii="Calibri" w:hAnsi="Calibri"/>
                <w:sz w:val="24"/>
                <w:szCs w:val="22"/>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ascii="Calibri" w:hAnsi="Calibri"/>
                <w:sz w:val="24"/>
              </w:rPr>
              <w:t>陈武斌</w:t>
            </w:r>
          </w:p>
        </w:tc>
        <w:tc>
          <w:tcPr>
            <w:tcW w:w="5339"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sz w:val="24"/>
                <w:szCs w:val="22"/>
              </w:rPr>
              <w:t>1100000000300371</w:t>
            </w:r>
          </w:p>
        </w:tc>
        <w:tc>
          <w:tcPr>
            <w:tcW w:w="202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4"/>
                <w:lang w:val="en-US" w:eastAsia="zh-CN" w:bidi="ar-SA"/>
              </w:rPr>
            </w:pPr>
            <w:r>
              <w:rPr>
                <w:rFonts w:hint="eastAsia"/>
                <w:sz w:val="24"/>
                <w:szCs w:val="22"/>
              </w:rPr>
              <w:t xml:space="preserve"> 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vMerge w:val="continue"/>
            <w:tcBorders>
              <w:tl2br w:val="nil"/>
              <w:tr2bl w:val="nil"/>
            </w:tcBorders>
            <w:shd w:val="clear" w:color="auto" w:fill="FFFFFF"/>
            <w:vAlign w:val="center"/>
          </w:tcPr>
          <w:p>
            <w:pPr>
              <w:jc w:val="center"/>
              <w:rPr>
                <w:rFonts w:ascii="宋体" w:hAnsi="宋体" w:cs="宋体"/>
                <w:sz w:val="24"/>
              </w:rPr>
            </w:pPr>
          </w:p>
        </w:tc>
        <w:tc>
          <w:tcPr>
            <w:tcW w:w="968"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Calibri" w:hAnsi="Calibri" w:eastAsia="宋体" w:cs="Times New Roman"/>
                <w:kern w:val="2"/>
                <w:sz w:val="24"/>
                <w:szCs w:val="22"/>
                <w:lang w:val="en-US" w:eastAsia="zh-CN" w:bidi="ar-SA"/>
              </w:rPr>
            </w:pPr>
            <w:r>
              <w:rPr>
                <w:rFonts w:hint="eastAsia" w:ascii="Calibri" w:hAnsi="Calibri"/>
                <w:sz w:val="24"/>
                <w:szCs w:val="22"/>
                <w:lang w:val="en-US" w:eastAsia="zh-CN"/>
              </w:rPr>
              <w:t>吴红玉</w:t>
            </w:r>
          </w:p>
        </w:tc>
        <w:tc>
          <w:tcPr>
            <w:tcW w:w="5339" w:type="dxa"/>
            <w:tcBorders>
              <w:tl2br w:val="nil"/>
              <w:tr2bl w:val="nil"/>
            </w:tcBorders>
            <w:shd w:val="clear" w:color="auto" w:fill="FFFFFF"/>
            <w:vAlign w:val="center"/>
          </w:tcPr>
          <w:p>
            <w:pPr>
              <w:spacing w:before="156" w:beforeLines="50" w:after="156" w:afterLines="50" w:line="360" w:lineRule="exact"/>
              <w:ind w:firstLine="0" w:firstLineChars="0"/>
              <w:jc w:val="center"/>
              <w:rPr>
                <w:rFonts w:hint="eastAsia" w:ascii="Calibri" w:hAnsi="Calibri" w:eastAsia="宋体" w:cs="Times New Roman"/>
                <w:kern w:val="2"/>
                <w:sz w:val="24"/>
                <w:szCs w:val="24"/>
                <w:lang w:val="en-US" w:eastAsia="zh-CN" w:bidi="ar-SA"/>
              </w:rPr>
            </w:pPr>
            <w:r>
              <w:rPr>
                <w:rFonts w:hint="eastAsia"/>
                <w:sz w:val="24"/>
              </w:rPr>
              <w:t xml:space="preserve">1200000000300398 </w:t>
            </w:r>
          </w:p>
        </w:tc>
        <w:tc>
          <w:tcPr>
            <w:tcW w:w="2028" w:type="dxa"/>
            <w:tcBorders>
              <w:tl2br w:val="nil"/>
              <w:tr2bl w:val="nil"/>
            </w:tcBorders>
            <w:shd w:val="clear" w:color="auto" w:fill="FFFFFF"/>
            <w:vAlign w:val="center"/>
          </w:tcPr>
          <w:p>
            <w:pPr>
              <w:spacing w:before="156" w:beforeLines="50" w:after="156" w:afterLines="50" w:line="360" w:lineRule="exact"/>
              <w:ind w:firstLine="0" w:firstLineChars="0"/>
              <w:jc w:val="center"/>
              <w:rPr>
                <w:rFonts w:hint="eastAsia" w:ascii="Calibri" w:hAnsi="Calibri" w:eastAsia="宋体" w:cs="Times New Roman"/>
                <w:kern w:val="2"/>
                <w:sz w:val="24"/>
                <w:szCs w:val="24"/>
                <w:lang w:val="en-US" w:eastAsia="zh-CN" w:bidi="ar-SA"/>
              </w:rPr>
            </w:pPr>
            <w:r>
              <w:rPr>
                <w:rFonts w:hint="eastAsia"/>
                <w:sz w:val="24"/>
              </w:rPr>
              <w:t>025175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335" w:type="dxa"/>
            <w:gridSpan w:val="3"/>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335"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color w:val="000000"/>
                <w:sz w:val="24"/>
              </w:rPr>
              <w:t>钟琼</w:t>
            </w:r>
            <w:r>
              <w:rPr>
                <w:rFonts w:hint="eastAsia"/>
                <w:color w:val="000000"/>
                <w:sz w:val="24"/>
              </w:rPr>
              <w:t>、</w:t>
            </w:r>
            <w:r>
              <w:rPr>
                <w:sz w:val="24"/>
              </w:rPr>
              <w:t>黎财荣</w:t>
            </w:r>
            <w:r>
              <w:rPr>
                <w:rFonts w:hint="eastAsia"/>
                <w:sz w:val="24"/>
              </w:rPr>
              <w:t xml:space="preserve"> 202</w:t>
            </w:r>
            <w:r>
              <w:rPr>
                <w:rFonts w:hint="eastAsia"/>
                <w:sz w:val="24"/>
                <w:lang w:val="en-US" w:eastAsia="zh-CN"/>
              </w:rPr>
              <w:t>4.2.23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335"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FF0000"/>
                <w:sz w:val="24"/>
                <w:lang w:val="en-US" w:eastAsia="zh-CN"/>
              </w:rPr>
            </w:pPr>
            <w:r>
              <w:rPr>
                <w:color w:val="000000"/>
                <w:sz w:val="24"/>
              </w:rPr>
              <w:t>钟琼</w:t>
            </w:r>
            <w:r>
              <w:rPr>
                <w:rFonts w:hint="eastAsia"/>
                <w:color w:val="000000"/>
                <w:sz w:val="24"/>
              </w:rPr>
              <w:t>、</w:t>
            </w:r>
            <w:r>
              <w:rPr>
                <w:sz w:val="24"/>
              </w:rPr>
              <w:t>黎财荣</w:t>
            </w:r>
            <w:r>
              <w:rPr>
                <w:rFonts w:hint="eastAsia"/>
                <w:sz w:val="24"/>
              </w:rPr>
              <w:t xml:space="preserve"> 202</w:t>
            </w:r>
            <w:r>
              <w:rPr>
                <w:rFonts w:hint="eastAsia"/>
                <w:sz w:val="24"/>
                <w:lang w:val="en-US" w:eastAsia="zh-CN"/>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335" w:type="dxa"/>
            <w:gridSpan w:val="3"/>
            <w:tcBorders>
              <w:tl2br w:val="nil"/>
              <w:tr2bl w:val="nil"/>
            </w:tcBorders>
            <w:shd w:val="clear" w:color="auto" w:fill="FFFFFF"/>
          </w:tcPr>
          <w:p>
            <w:pPr>
              <w:ind w:firstLine="560"/>
              <w:rPr>
                <w:rFonts w:hint="eastAsia"/>
                <w:sz w:val="24"/>
              </w:rPr>
            </w:pPr>
            <w:r>
              <w:rPr>
                <w:rFonts w:hint="eastAsia" w:ascii="宋体" w:hAnsi="宋体" w:cs="宋体"/>
              </w:rPr>
              <w:t>大余金峰工贸有限公司（简称“该公司”）成立于2002年01月04日，注册资本陆佰万元整，法定代表人：赵明峰，营业执照经营范围：生产、销售硫化铵等产品。2015年，金峰工贸公司根据政府要求退城入园进行技术改造，由原址江西省赣州市大余县南安镇新珠村整体搬迁至大余县新华工业园。金峰工贸公司于2019年06月10日取得了《安全生产许可证》，许可证编号：（赣）WH安许证字[2019]1046号，2022年6月10日取得延续换证，限期至2025年6月9日，许可范围为硫化铵（7kt/a）</w:t>
            </w:r>
            <w:r>
              <w:rPr>
                <w:rFonts w:hint="eastAsia"/>
                <w:sz w:val="24"/>
              </w:rPr>
              <w:t>。</w:t>
            </w:r>
          </w:p>
          <w:p>
            <w:pPr>
              <w:ind w:firstLine="56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85" w:hRule="atLeast"/>
          <w:jc w:val="center"/>
        </w:trPr>
        <w:tc>
          <w:tcPr>
            <w:tcW w:w="894" w:type="dxa"/>
            <w:tcBorders>
              <w:tl2br w:val="nil"/>
              <w:tr2bl w:val="nil"/>
            </w:tcBorders>
            <w:shd w:val="clear" w:color="auto" w:fill="FFFFFF"/>
            <w:vAlign w:val="center"/>
          </w:tcPr>
          <w:p>
            <w:pPr>
              <w:widowControl/>
              <w:spacing w:after="150"/>
              <w:jc w:val="center"/>
            </w:pPr>
            <w:r>
              <w:rPr>
                <w:rFonts w:hint="eastAsia"/>
                <w:sz w:val="24"/>
              </w:rPr>
              <w:t>工艺流程</w:t>
            </w:r>
          </w:p>
        </w:tc>
        <w:tc>
          <w:tcPr>
            <w:tcW w:w="8335" w:type="dxa"/>
            <w:gridSpan w:val="3"/>
            <w:tcBorders>
              <w:tl2br w:val="nil"/>
              <w:tr2bl w:val="nil"/>
            </w:tcBorders>
            <w:shd w:val="clear" w:color="auto" w:fill="FFFFFF"/>
          </w:tcPr>
          <w:p>
            <w:pPr>
              <w:pStyle w:val="11"/>
              <w:ind w:firstLine="420" w:firstLineChars="200"/>
              <w:rPr>
                <w:rFonts w:hint="eastAsia"/>
              </w:rPr>
            </w:pPr>
            <w:r>
              <w:rPr>
                <w:rFonts w:hint="eastAsia"/>
              </w:rPr>
              <w:t>该企业制得的硫化铵溶液（含硫量为16%~32%）由吸收塔底部产品出口管道直接进入中间储槽，为完全密封状态，当中间储槽储达到设定的高度时，开启泵泵入硫化铵产品储罐，产品对外销售采用装桶（或专用的运输槽罐车），从硫化铵产品罐经泵和计量设备进行灌装。</w:t>
            </w:r>
          </w:p>
          <w:p>
            <w:pPr>
              <w:pStyle w:val="11"/>
              <w:ind w:firstLine="420" w:firstLineChars="200"/>
              <w:rPr>
                <w:rFonts w:hint="eastAsia" w:eastAsia="宋体"/>
                <w:lang w:eastAsia="zh-CN"/>
              </w:rPr>
            </w:pPr>
            <w:r>
              <w:rPr>
                <w:rFonts w:hint="eastAsia"/>
              </w:rPr>
              <w:t>由于客户对硫化铵浓度不同需求的调整，从客户处返回的硫化铵，或者需调整包装方式的硫化铵，或者外购的硫化铵溶液运输至厂区，经抽样检测为合格的硫化铵，均抽入硫化铵储罐进行储存，灌装，再经营、销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94"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335" w:type="dxa"/>
            <w:gridSpan w:val="3"/>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r>
        <w:br w:type="page"/>
      </w:r>
    </w:p>
    <w:p/>
    <w:p>
      <w:pPr>
        <w:rPr>
          <w:rFonts w:hint="eastAsia" w:eastAsia="宋体"/>
          <w:lang w:eastAsia="zh-CN"/>
        </w:rPr>
      </w:pPr>
    </w:p>
    <w:p>
      <w:pPr>
        <w:pStyle w:val="22"/>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7960" cy="3950335"/>
            <wp:effectExtent l="0" t="0" r="8890" b="12065"/>
            <wp:docPr id="51" name="图片 51" descr="0532e0e1279846de1a8bf96942793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0532e0e1279846de1a8bf969427938e"/>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r>
        <w:rPr>
          <w:rFonts w:hint="eastAsia" w:eastAsia="宋体"/>
          <w:lang w:eastAsia="zh-CN"/>
        </w:rPr>
        <w:br w:type="page"/>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22875" cy="3917315"/>
            <wp:effectExtent l="0" t="0" r="15875" b="6985"/>
            <wp:docPr id="52" name="图片 52" descr="49cc8a77ea94832da1c094cd9e39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49cc8a77ea94832da1c094cd9e39bce"/>
                    <pic:cNvPicPr>
                      <a:picLocks noChangeAspect="1"/>
                    </pic:cNvPicPr>
                  </pic:nvPicPr>
                  <pic:blipFill>
                    <a:blip r:embed="rId7"/>
                    <a:stretch>
                      <a:fillRect/>
                    </a:stretch>
                  </pic:blipFill>
                  <pic:spPr>
                    <a:xfrm>
                      <a:off x="0" y="0"/>
                      <a:ext cx="5222875" cy="391731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 w:name="KSO_WPS_MARK_KEY" w:val="f0c94484-18bf-41d0-a894-232196517eb0"/>
  </w:docVars>
  <w:rsids>
    <w:rsidRoot w:val="00E3751A"/>
    <w:rsid w:val="00047227"/>
    <w:rsid w:val="00303C12"/>
    <w:rsid w:val="003A7C06"/>
    <w:rsid w:val="004340C8"/>
    <w:rsid w:val="004D1AF7"/>
    <w:rsid w:val="005858BE"/>
    <w:rsid w:val="00756850"/>
    <w:rsid w:val="007A2261"/>
    <w:rsid w:val="00802085"/>
    <w:rsid w:val="008F01AE"/>
    <w:rsid w:val="00C75118"/>
    <w:rsid w:val="00C82162"/>
    <w:rsid w:val="00D40559"/>
    <w:rsid w:val="00E3751A"/>
    <w:rsid w:val="00FF47EE"/>
    <w:rsid w:val="01381A2C"/>
    <w:rsid w:val="030516AD"/>
    <w:rsid w:val="03463A74"/>
    <w:rsid w:val="03C37305"/>
    <w:rsid w:val="04334FFF"/>
    <w:rsid w:val="04543719"/>
    <w:rsid w:val="045937F4"/>
    <w:rsid w:val="04664971"/>
    <w:rsid w:val="04714B20"/>
    <w:rsid w:val="04D11406"/>
    <w:rsid w:val="04E23328"/>
    <w:rsid w:val="050505ED"/>
    <w:rsid w:val="06007F0A"/>
    <w:rsid w:val="062E2CC9"/>
    <w:rsid w:val="06EF6353"/>
    <w:rsid w:val="07A95AAA"/>
    <w:rsid w:val="07D32EB9"/>
    <w:rsid w:val="07E46E00"/>
    <w:rsid w:val="0814540D"/>
    <w:rsid w:val="08300409"/>
    <w:rsid w:val="08302FF8"/>
    <w:rsid w:val="08E81855"/>
    <w:rsid w:val="08ED0200"/>
    <w:rsid w:val="096769A3"/>
    <w:rsid w:val="096F1B10"/>
    <w:rsid w:val="09806C85"/>
    <w:rsid w:val="0A0E1339"/>
    <w:rsid w:val="0A173A74"/>
    <w:rsid w:val="0A4F7A65"/>
    <w:rsid w:val="0BC750FD"/>
    <w:rsid w:val="0D073DB5"/>
    <w:rsid w:val="0D081033"/>
    <w:rsid w:val="0E564C35"/>
    <w:rsid w:val="0EC817E1"/>
    <w:rsid w:val="0F1C6141"/>
    <w:rsid w:val="0FFD1618"/>
    <w:rsid w:val="10806817"/>
    <w:rsid w:val="10A546BD"/>
    <w:rsid w:val="10AE1BD9"/>
    <w:rsid w:val="10D96D50"/>
    <w:rsid w:val="13A45FBE"/>
    <w:rsid w:val="13FA1B12"/>
    <w:rsid w:val="141C622E"/>
    <w:rsid w:val="147F5532"/>
    <w:rsid w:val="156C314D"/>
    <w:rsid w:val="15CB68F5"/>
    <w:rsid w:val="16B10157"/>
    <w:rsid w:val="172B1294"/>
    <w:rsid w:val="17505468"/>
    <w:rsid w:val="17550DB0"/>
    <w:rsid w:val="17810296"/>
    <w:rsid w:val="17C601C4"/>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BD9110B"/>
    <w:rsid w:val="2C9D3BC7"/>
    <w:rsid w:val="2CF2686E"/>
    <w:rsid w:val="2E9E272A"/>
    <w:rsid w:val="2EAE6403"/>
    <w:rsid w:val="31055C5A"/>
    <w:rsid w:val="3256187C"/>
    <w:rsid w:val="3259568C"/>
    <w:rsid w:val="32A66941"/>
    <w:rsid w:val="339918AA"/>
    <w:rsid w:val="33BD2F62"/>
    <w:rsid w:val="341F407D"/>
    <w:rsid w:val="34BD4A82"/>
    <w:rsid w:val="351530F3"/>
    <w:rsid w:val="35211925"/>
    <w:rsid w:val="35524794"/>
    <w:rsid w:val="36577381"/>
    <w:rsid w:val="366115C7"/>
    <w:rsid w:val="37285AB1"/>
    <w:rsid w:val="375C6F30"/>
    <w:rsid w:val="3781684D"/>
    <w:rsid w:val="3823766B"/>
    <w:rsid w:val="396748BA"/>
    <w:rsid w:val="3A751F6D"/>
    <w:rsid w:val="3AB6680E"/>
    <w:rsid w:val="3AD61658"/>
    <w:rsid w:val="3ADD7367"/>
    <w:rsid w:val="3AF50232"/>
    <w:rsid w:val="3B251FB8"/>
    <w:rsid w:val="3B3712DA"/>
    <w:rsid w:val="3B622014"/>
    <w:rsid w:val="3C7D28D5"/>
    <w:rsid w:val="3CE43836"/>
    <w:rsid w:val="3D027FC2"/>
    <w:rsid w:val="3D3D4FC4"/>
    <w:rsid w:val="3D4729D1"/>
    <w:rsid w:val="3DEB4A20"/>
    <w:rsid w:val="3E2D53F7"/>
    <w:rsid w:val="3EB62D94"/>
    <w:rsid w:val="3EEC7F81"/>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546743F"/>
    <w:rsid w:val="45A13141"/>
    <w:rsid w:val="46966FC2"/>
    <w:rsid w:val="47EE36B2"/>
    <w:rsid w:val="485E76F8"/>
    <w:rsid w:val="48AF6D87"/>
    <w:rsid w:val="49CE6C17"/>
    <w:rsid w:val="4CDE060B"/>
    <w:rsid w:val="4E3D5914"/>
    <w:rsid w:val="4E461B89"/>
    <w:rsid w:val="4F4C1097"/>
    <w:rsid w:val="4F844CD5"/>
    <w:rsid w:val="4FF32FA8"/>
    <w:rsid w:val="50EA0B03"/>
    <w:rsid w:val="512A57AB"/>
    <w:rsid w:val="515A3854"/>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C05975"/>
    <w:rsid w:val="5BD743DE"/>
    <w:rsid w:val="5D63281F"/>
    <w:rsid w:val="5D706898"/>
    <w:rsid w:val="5D731EE5"/>
    <w:rsid w:val="5D7C7100"/>
    <w:rsid w:val="5D89238E"/>
    <w:rsid w:val="5D8C28DB"/>
    <w:rsid w:val="5DA30A1C"/>
    <w:rsid w:val="5E3F6556"/>
    <w:rsid w:val="5E4A7A0E"/>
    <w:rsid w:val="5E8C3C37"/>
    <w:rsid w:val="5EBC6D64"/>
    <w:rsid w:val="5ED03402"/>
    <w:rsid w:val="5F182B4A"/>
    <w:rsid w:val="5FD163AE"/>
    <w:rsid w:val="60057BEA"/>
    <w:rsid w:val="60B44CEE"/>
    <w:rsid w:val="60B460AF"/>
    <w:rsid w:val="619747AF"/>
    <w:rsid w:val="621C336D"/>
    <w:rsid w:val="62A05F08"/>
    <w:rsid w:val="62EA5BC6"/>
    <w:rsid w:val="630737FB"/>
    <w:rsid w:val="63C25DAA"/>
    <w:rsid w:val="64126CC6"/>
    <w:rsid w:val="648F0582"/>
    <w:rsid w:val="64F540D9"/>
    <w:rsid w:val="6559245A"/>
    <w:rsid w:val="65622F6B"/>
    <w:rsid w:val="658C415A"/>
    <w:rsid w:val="65BD6D5B"/>
    <w:rsid w:val="66C53C4A"/>
    <w:rsid w:val="673B297E"/>
    <w:rsid w:val="678F323C"/>
    <w:rsid w:val="68233EA0"/>
    <w:rsid w:val="68A30209"/>
    <w:rsid w:val="68C86C57"/>
    <w:rsid w:val="6AA57F27"/>
    <w:rsid w:val="6CC37EB5"/>
    <w:rsid w:val="6D1139EB"/>
    <w:rsid w:val="6D3457FF"/>
    <w:rsid w:val="6E2A4841"/>
    <w:rsid w:val="6EEF19E2"/>
    <w:rsid w:val="6F3D1DEF"/>
    <w:rsid w:val="6F963F3C"/>
    <w:rsid w:val="6FE54B28"/>
    <w:rsid w:val="71276AD1"/>
    <w:rsid w:val="715F1BDC"/>
    <w:rsid w:val="7160445C"/>
    <w:rsid w:val="71697143"/>
    <w:rsid w:val="716C6A50"/>
    <w:rsid w:val="7207397B"/>
    <w:rsid w:val="729E3A33"/>
    <w:rsid w:val="72C43B37"/>
    <w:rsid w:val="737D1DEA"/>
    <w:rsid w:val="748B2EA1"/>
    <w:rsid w:val="74AE0F56"/>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6">
    <w:name w:val="heading 2"/>
    <w:basedOn w:val="7"/>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7">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8">
    <w:name w:val="heading 4"/>
    <w:basedOn w:val="1"/>
    <w:next w:val="1"/>
    <w:unhideWhenUsed/>
    <w:qFormat/>
    <w:uiPriority w:val="0"/>
    <w:pPr>
      <w:keepNext/>
      <w:keepLines/>
      <w:outlineLvl w:val="3"/>
    </w:pPr>
    <w:rPr>
      <w:b/>
    </w:rPr>
  </w:style>
  <w:style w:type="character" w:default="1" w:styleId="24">
    <w:name w:val="Default Paragraph Font"/>
    <w:autoRedefine/>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footer"/>
    <w:basedOn w:val="1"/>
    <w:next w:val="3"/>
    <w:autoRedefine/>
    <w:qFormat/>
    <w:uiPriority w:val="99"/>
    <w:pPr>
      <w:tabs>
        <w:tab w:val="center" w:pos="4153"/>
        <w:tab w:val="right" w:pos="8306"/>
      </w:tabs>
      <w:snapToGrid w:val="0"/>
    </w:pPr>
    <w:rPr>
      <w:sz w:val="18"/>
      <w:szCs w:val="18"/>
    </w:rPr>
  </w:style>
  <w:style w:type="paragraph" w:styleId="3">
    <w:name w:val="Normal (Web)"/>
    <w:basedOn w:val="1"/>
    <w:next w:val="4"/>
    <w:autoRedefine/>
    <w:qFormat/>
    <w:uiPriority w:val="0"/>
    <w:pPr>
      <w:spacing w:before="100" w:beforeAutospacing="1" w:after="100" w:afterAutospacing="1"/>
      <w:jc w:val="left"/>
    </w:pPr>
    <w:rPr>
      <w:kern w:val="0"/>
      <w:sz w:val="24"/>
    </w:rPr>
  </w:style>
  <w:style w:type="paragraph" w:customStyle="1" w:styleId="4">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9">
    <w:name w:val="Normal Indent"/>
    <w:basedOn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10">
    <w:name w:val="Body Text"/>
    <w:basedOn w:val="1"/>
    <w:next w:val="1"/>
    <w:autoRedefine/>
    <w:qFormat/>
    <w:uiPriority w:val="99"/>
    <w:rPr>
      <w:sz w:val="28"/>
      <w:szCs w:val="28"/>
    </w:rPr>
  </w:style>
  <w:style w:type="paragraph" w:styleId="11">
    <w:name w:val="Body Text Indent"/>
    <w:basedOn w:val="1"/>
    <w:next w:val="10"/>
    <w:unhideWhenUsed/>
    <w:qFormat/>
    <w:uiPriority w:val="99"/>
    <w:pPr>
      <w:spacing w:after="120"/>
      <w:ind w:left="420" w:leftChars="200"/>
    </w:pPr>
  </w:style>
  <w:style w:type="paragraph" w:styleId="12">
    <w:name w:val="toc 5"/>
    <w:basedOn w:val="1"/>
    <w:next w:val="1"/>
    <w:autoRedefine/>
    <w:semiHidden/>
    <w:qFormat/>
    <w:uiPriority w:val="0"/>
    <w:pPr>
      <w:ind w:left="1120"/>
      <w:jc w:val="left"/>
    </w:pPr>
    <w:rPr>
      <w:sz w:val="18"/>
      <w:szCs w:val="18"/>
    </w:rPr>
  </w:style>
  <w:style w:type="paragraph" w:styleId="13">
    <w:name w:val="Plain Text"/>
    <w:basedOn w:val="1"/>
    <w:qFormat/>
    <w:uiPriority w:val="0"/>
    <w:rPr>
      <w:rFonts w:ascii="宋体" w:hAnsi="Courier New" w:cs="Courier New"/>
      <w:szCs w:val="21"/>
    </w:rPr>
  </w:style>
  <w:style w:type="paragraph" w:styleId="14">
    <w:name w:val="Date"/>
    <w:basedOn w:val="1"/>
    <w:next w:val="1"/>
    <w:link w:val="46"/>
    <w:qFormat/>
    <w:uiPriority w:val="0"/>
    <w:pPr>
      <w:ind w:left="100" w:leftChars="2500"/>
    </w:pPr>
    <w:rPr>
      <w:rFonts w:ascii="Times New Roman" w:hAnsi="Times New Roman"/>
      <w:b/>
      <w:bCs/>
      <w:sz w:val="28"/>
    </w:rPr>
  </w:style>
  <w:style w:type="paragraph" w:styleId="15">
    <w:name w:val="Body Text Indent 2"/>
    <w:basedOn w:val="1"/>
    <w:qFormat/>
    <w:uiPriority w:val="0"/>
    <w:pPr>
      <w:ind w:firstLine="538" w:firstLineChars="192"/>
    </w:pPr>
    <w:rPr>
      <w:rFonts w:ascii="宋体" w:hAnsi="宋体"/>
      <w:sz w:val="28"/>
    </w:rPr>
  </w:style>
  <w:style w:type="paragraph" w:styleId="16">
    <w:name w:val="Balloon Text"/>
    <w:basedOn w:val="1"/>
    <w:link w:val="32"/>
    <w:qFormat/>
    <w:uiPriority w:val="0"/>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jc w:val="left"/>
    </w:pPr>
    <w:rPr>
      <w:rFonts w:ascii="宋体"/>
      <w:b/>
      <w:bCs/>
      <w:caps/>
      <w:sz w:val="20"/>
      <w:szCs w:val="20"/>
    </w:rPr>
  </w:style>
  <w:style w:type="paragraph" w:styleId="19">
    <w:name w:val="Body Text Indent 3"/>
    <w:basedOn w:val="1"/>
    <w:qFormat/>
    <w:uiPriority w:val="0"/>
    <w:pPr>
      <w:ind w:firstLine="630"/>
    </w:pPr>
    <w:rPr>
      <w:rFonts w:ascii="Times New Roman" w:hAnsi="Times New Roman" w:eastAsia="仿宋_GB2312"/>
      <w:sz w:val="28"/>
    </w:rPr>
  </w:style>
  <w:style w:type="paragraph" w:styleId="20">
    <w:name w:val="Body Text First Indent"/>
    <w:basedOn w:val="10"/>
    <w:next w:val="1"/>
    <w:qFormat/>
    <w:uiPriority w:val="0"/>
    <w:pPr>
      <w:spacing w:after="120"/>
      <w:ind w:firstLine="420" w:firstLineChars="100"/>
    </w:pPr>
  </w:style>
  <w:style w:type="paragraph" w:styleId="21">
    <w:name w:val="Body Text First Indent 2"/>
    <w:basedOn w:val="11"/>
    <w:next w:val="22"/>
    <w:autoRedefine/>
    <w:unhideWhenUsed/>
    <w:qFormat/>
    <w:uiPriority w:val="99"/>
    <w:pPr>
      <w:ind w:firstLine="420" w:firstLineChars="200"/>
    </w:pPr>
  </w:style>
  <w:style w:type="paragraph" w:customStyle="1" w:styleId="22">
    <w:name w:val="正文2"/>
    <w:basedOn w:val="1"/>
    <w:autoRedefine/>
    <w:qFormat/>
    <w:uiPriority w:val="0"/>
    <w:pPr>
      <w:spacing w:line="440" w:lineRule="atLeast"/>
      <w:ind w:firstLine="567"/>
    </w:pPr>
    <w:rPr>
      <w:sz w:val="24"/>
      <w:szCs w:val="20"/>
    </w:rPr>
  </w:style>
  <w:style w:type="paragraph" w:customStyle="1" w:styleId="25">
    <w:name w:val="样式 首行缩进:  2 字符"/>
    <w:basedOn w:val="1"/>
    <w:next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6">
    <w:name w:val="Default"/>
    <w:basedOn w:val="27"/>
    <w:next w:val="21"/>
    <w:autoRedefine/>
    <w:qFormat/>
    <w:uiPriority w:val="0"/>
    <w:pPr>
      <w:autoSpaceDE w:val="0"/>
      <w:autoSpaceDN w:val="0"/>
    </w:pPr>
    <w:rPr>
      <w:rFonts w:hint="eastAsia" w:ascii="宋体"/>
      <w:sz w:val="24"/>
    </w:rPr>
  </w:style>
  <w:style w:type="paragraph" w:customStyle="1" w:styleId="27">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6"/>
    <w:qFormat/>
    <w:uiPriority w:val="0"/>
    <w:pPr>
      <w:spacing w:beforeLines="0" w:afterLines="0"/>
    </w:pPr>
    <w:rPr>
      <w:rFonts w:ascii="Arial" w:hAnsi="Arial" w:eastAsia="宋体" w:cs="宋体"/>
      <w:snapToGrid/>
      <w:kern w:val="2"/>
      <w:szCs w:val="32"/>
      <w:lang w:val="zh-CN"/>
    </w:rPr>
  </w:style>
  <w:style w:type="paragraph" w:customStyle="1" w:styleId="3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autoRedefine/>
    <w:qFormat/>
    <w:uiPriority w:val="0"/>
    <w:pPr>
      <w:widowControl/>
    </w:pPr>
    <w:rPr>
      <w:kern w:val="0"/>
      <w:szCs w:val="21"/>
    </w:rPr>
  </w:style>
  <w:style w:type="character" w:customStyle="1" w:styleId="32">
    <w:name w:val="批注框文本 字符"/>
    <w:basedOn w:val="24"/>
    <w:link w:val="16"/>
    <w:autoRedefine/>
    <w:qFormat/>
    <w:uiPriority w:val="0"/>
    <w:rPr>
      <w:rFonts w:ascii="Calibri" w:hAnsi="Calibri"/>
      <w:kern w:val="2"/>
      <w:sz w:val="18"/>
      <w:szCs w:val="18"/>
    </w:rPr>
  </w:style>
  <w:style w:type="paragraph" w:customStyle="1" w:styleId="33">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4"/>
    <w:qFormat/>
    <w:uiPriority w:val="0"/>
    <w:rPr>
      <w:rFonts w:ascii="宋体" w:hAnsi="Tahoma" w:eastAsia="宋体"/>
      <w:snapToGrid w:val="0"/>
      <w:spacing w:val="6"/>
      <w:kern w:val="10"/>
      <w:sz w:val="24"/>
    </w:rPr>
  </w:style>
  <w:style w:type="paragraph" w:customStyle="1" w:styleId="35">
    <w:name w:val="表格居中"/>
    <w:basedOn w:val="36"/>
    <w:autoRedefine/>
    <w:qFormat/>
    <w:uiPriority w:val="0"/>
    <w:pPr>
      <w:jc w:val="center"/>
    </w:pPr>
  </w:style>
  <w:style w:type="paragraph" w:customStyle="1" w:styleId="36">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autoRedefine/>
    <w:qFormat/>
    <w:uiPriority w:val="0"/>
    <w:pPr>
      <w:jc w:val="center"/>
    </w:pPr>
    <w:rPr>
      <w:rFonts w:hint="eastAsia" w:ascii="宋体" w:hAnsi="宋体" w:cs="宋体"/>
      <w:szCs w:val="21"/>
    </w:rPr>
  </w:style>
  <w:style w:type="paragraph" w:customStyle="1" w:styleId="38">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autoRedefine/>
    <w:qFormat/>
    <w:uiPriority w:val="0"/>
    <w:pPr>
      <w:jc w:val="center"/>
    </w:pPr>
    <w:rPr>
      <w:b/>
      <w:bCs/>
    </w:rPr>
  </w:style>
  <w:style w:type="paragraph" w:customStyle="1" w:styleId="40">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autoRedefine/>
    <w:qFormat/>
    <w:uiPriority w:val="0"/>
    <w:pPr>
      <w:numPr>
        <w:ilvl w:val="0"/>
        <w:numId w:val="1"/>
      </w:numPr>
    </w:pPr>
    <w:rPr>
      <w:b/>
      <w:bCs/>
    </w:rPr>
  </w:style>
  <w:style w:type="paragraph" w:customStyle="1" w:styleId="43">
    <w:name w:val="伟灿-表格文字"/>
    <w:basedOn w:val="1"/>
    <w:autoRedefine/>
    <w:qFormat/>
    <w:uiPriority w:val="0"/>
    <w:pPr>
      <w:jc w:val="center"/>
    </w:pPr>
    <w:rPr>
      <w:rFonts w:hint="eastAsia" w:ascii="宋体" w:hAnsi="宋体" w:cs="宋体"/>
      <w:szCs w:val="21"/>
    </w:rPr>
  </w:style>
  <w:style w:type="paragraph" w:styleId="44">
    <w:name w:val="List Paragraph"/>
    <w:basedOn w:val="1"/>
    <w:autoRedefine/>
    <w:qFormat/>
    <w:uiPriority w:val="99"/>
    <w:pPr>
      <w:ind w:firstLine="420" w:firstLineChars="200"/>
    </w:pPr>
  </w:style>
  <w:style w:type="paragraph" w:customStyle="1" w:styleId="45">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4"/>
    <w:link w:val="14"/>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174</Words>
  <Characters>995</Characters>
  <Lines>8</Lines>
  <Paragraphs>2</Paragraphs>
  <TotalTime>1</TotalTime>
  <ScaleCrop>false</ScaleCrop>
  <LinksUpToDate>false</LinksUpToDate>
  <CharactersWithSpaces>1167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2024-04-08T07:03:34Z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FB8056C53455456EADF7F37402234EC7_13</vt:lpwstr>
  </property>
</Properties>
</file>