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贵州若霖祥新能源有限公司凯里市开怀分公司</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864"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郦旭锋、许丹 2024.3.31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贵州若霖祥新能源有限公司凯里市开怀分公司位于贵州省黔东南苗族侗族自治州凯里市开怀街道龙井村二组熊年里自建房，该公司成立于2024年04月01日，为有限责任公司分公司，法定代表人：汪健。该公司主要经营瓶装民用醇基燃料（主要成分甲醇），采用常温、常压的钢瓶储存，经营方式为零售。配送站内瓶装民用醇基燃料最大储存量3t，根据《民用醇基液体燃料安全技术规程》（DB52/T 1777-2023）第4.3.2条的民用醇基液体燃料配送站分类，属于Ⅱ类配送站。</w:t>
            </w:r>
          </w:p>
          <w:p>
            <w:pPr>
              <w:pStyle w:val="20"/>
              <w:bidi w:val="0"/>
              <w:ind w:firstLine="480" w:firstLineChars="200"/>
              <w:rPr>
                <w:rFonts w:hint="eastAsia"/>
                <w:lang w:eastAsia="zh-CN"/>
              </w:rPr>
            </w:pPr>
            <w:r>
              <w:rPr>
                <w:rFonts w:hint="eastAsia"/>
                <w:lang w:eastAsia="zh-CN"/>
              </w:rPr>
              <w:t>评价结论：贵州若霖祥新能源有限公司凯里市开怀分公司安全现状条件符合现行国家相关法律、法规的相关要求，符合《危险化学品经营许可证管理办法》（原安监总局令〔2012〕第55号，原安监总局2015年79号令修改）规定的安全经营条件。</w:t>
            </w:r>
          </w:p>
          <w:p>
            <w:pPr>
              <w:pStyle w:val="20"/>
              <w:bidi w:val="0"/>
              <w:ind w:firstLine="480" w:firstLineChars="200"/>
              <w:rPr>
                <w:rFonts w:hint="eastAsia"/>
                <w:lang w:eastAsia="zh-CN"/>
              </w:rPr>
            </w:pP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bookmarkStart w:id="0" w:name="_GoBack"/>
            <w:r>
              <w:rPr>
                <w:rFonts w:hint="default"/>
                <w:lang w:val="en-US" w:eastAsia="zh-CN"/>
              </w:rPr>
              <w:drawing>
                <wp:inline distT="0" distB="0" distL="114300" distR="114300">
                  <wp:extent cx="3943985" cy="2671445"/>
                  <wp:effectExtent l="0" t="0" r="18415" b="14605"/>
                  <wp:docPr id="16" name="图片 16"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检查 (4)"/>
                          <pic:cNvPicPr>
                            <a:picLocks noChangeAspect="1"/>
                          </pic:cNvPicPr>
                        </pic:nvPicPr>
                        <pic:blipFill>
                          <a:blip r:embed="rId5"/>
                          <a:stretch>
                            <a:fillRect/>
                          </a:stretch>
                        </pic:blipFill>
                        <pic:spPr>
                          <a:xfrm>
                            <a:off x="0" y="0"/>
                            <a:ext cx="3943985" cy="2671445"/>
                          </a:xfrm>
                          <a:prstGeom prst="rect">
                            <a:avLst/>
                          </a:prstGeom>
                        </pic:spPr>
                      </pic:pic>
                    </a:graphicData>
                  </a:graphic>
                </wp:inline>
              </w:drawing>
            </w:r>
            <w:bookmarkEnd w:id="0"/>
          </w:p>
          <w:p>
            <w:pPr>
              <w:rPr>
                <w:rFonts w:hint="default"/>
                <w:lang w:val="en-US" w:eastAsia="zh-CN"/>
              </w:rPr>
            </w:pPr>
            <w:r>
              <w:rPr>
                <w:rFonts w:hint="default"/>
                <w:lang w:val="en-US" w:eastAsia="zh-CN"/>
              </w:rPr>
              <w:drawing>
                <wp:inline distT="0" distB="0" distL="114300" distR="114300">
                  <wp:extent cx="4028440" cy="2487930"/>
                  <wp:effectExtent l="0" t="0" r="10160" b="7620"/>
                  <wp:docPr id="17" name="图片 17"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检查 (5)"/>
                          <pic:cNvPicPr>
                            <a:picLocks noChangeAspect="1"/>
                          </pic:cNvPicPr>
                        </pic:nvPicPr>
                        <pic:blipFill>
                          <a:blip r:embed="rId6"/>
                          <a:stretch>
                            <a:fillRect/>
                          </a:stretch>
                        </pic:blipFill>
                        <pic:spPr>
                          <a:xfrm>
                            <a:off x="0" y="0"/>
                            <a:ext cx="4028440" cy="24879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130675" cy="2240915"/>
                  <wp:effectExtent l="0" t="0" r="3175" b="6985"/>
                  <wp:docPr id="18" name="图片 18"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检查 (2)"/>
                          <pic:cNvPicPr>
                            <a:picLocks noChangeAspect="1"/>
                          </pic:cNvPicPr>
                        </pic:nvPicPr>
                        <pic:blipFill>
                          <a:blip r:embed="rId7"/>
                          <a:stretch>
                            <a:fillRect/>
                          </a:stretch>
                        </pic:blipFill>
                        <pic:spPr>
                          <a:xfrm>
                            <a:off x="0" y="0"/>
                            <a:ext cx="4130675" cy="224091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兴义市顺铭液化气库</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jc w:val="left"/>
            </w:pPr>
            <w:r>
              <w:t>项目组成员</w:t>
            </w:r>
          </w:p>
        </w:tc>
        <w:tc>
          <w:tcPr>
            <w:tcW w:w="1820"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864"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兴义市顺铭液化气库成立于2008年08月06日，位于贵州省黔西南州兴义市坪东办幸福社区黄鳝井，经营者：陈桂明，企业类型：个体工商户。该液化气库原主要储存经营液化气，2023年将该气库改为醇基燃料储存及经营，于2023年09月11日取得兴义市应急管理局核发的《危险化学品经营许可证》（黔兴应经字[2023]09号），有效期为2023年09月11日至2026年09月10日。醇基燃料储存经营项目主要包含4个100m³和1个30m³的卧式醇基燃料（甲醇）储罐（其中1号～4号罐为100m³卧式储罐，5号罐为30m³卧式储罐），4台自吸式加注机以及配套的辅助设备设施。根据公司发展及市场的需求，企业现将5个甲醇（醇基燃料）储罐内的物料进行变更，其中原有的1号储罐改为杂醇（粗甲醇）储罐，对应的加注机为杂醇（粗甲醇）加注机，2号储罐改为燃料油（闭杯闪点≤60℃）储罐，对应的加注机为燃料油加注机，3号储罐改为M100（车用甲醇燃料）储罐，对应的加注机为M100（车用甲醇燃料）加注机，4号和5号储罐储存的甲醇（醇基燃料）不变。本次变更仅为储存物料发生变化，设备设施、工艺管道以及辅助设施等均不发生变化。本次物料变更已由企业向当地应急管理局申请并得到同意变更，由原设计单位进行变更，相关专家进行论证。</w:t>
            </w:r>
          </w:p>
          <w:p>
            <w:pPr>
              <w:pStyle w:val="20"/>
              <w:bidi w:val="0"/>
              <w:ind w:firstLine="480" w:firstLineChars="200"/>
              <w:rPr>
                <w:rFonts w:hint="eastAsia"/>
                <w:lang w:eastAsia="zh-CN"/>
              </w:rPr>
            </w:pPr>
            <w:r>
              <w:rPr>
                <w:rFonts w:hint="eastAsia"/>
                <w:lang w:eastAsia="zh-CN"/>
              </w:rPr>
              <w:t>评价结论：兴义市顺铭液化气库现状条件符合现行国家相关法律、法规的相关要求，符合《危险化学品经营许可证管理办法》规定的安全经营条件。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07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14445" cy="2299335"/>
                  <wp:effectExtent l="0" t="0" r="14605" b="5715"/>
                  <wp:docPr id="70" name="图片 7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检查 (1)"/>
                          <pic:cNvPicPr>
                            <a:picLocks noChangeAspect="1"/>
                          </pic:cNvPicPr>
                        </pic:nvPicPr>
                        <pic:blipFill>
                          <a:blip r:embed="rId8"/>
                          <a:stretch>
                            <a:fillRect/>
                          </a:stretch>
                        </pic:blipFill>
                        <pic:spPr>
                          <a:xfrm>
                            <a:off x="0" y="0"/>
                            <a:ext cx="3814445" cy="229933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53180" cy="2150110"/>
                  <wp:effectExtent l="0" t="0" r="13970" b="2540"/>
                  <wp:docPr id="71" name="图片 71"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检查 (8)"/>
                          <pic:cNvPicPr>
                            <a:picLocks noChangeAspect="1"/>
                          </pic:cNvPicPr>
                        </pic:nvPicPr>
                        <pic:blipFill>
                          <a:blip r:embed="rId9"/>
                          <a:stretch>
                            <a:fillRect/>
                          </a:stretch>
                        </pic:blipFill>
                        <pic:spPr>
                          <a:xfrm>
                            <a:off x="0" y="0"/>
                            <a:ext cx="3853180" cy="215011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53180" cy="2512695"/>
                  <wp:effectExtent l="0" t="0" r="13970" b="1905"/>
                  <wp:docPr id="72" name="图片 72"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检查 (3)"/>
                          <pic:cNvPicPr>
                            <a:picLocks noChangeAspect="1"/>
                          </pic:cNvPicPr>
                        </pic:nvPicPr>
                        <pic:blipFill>
                          <a:blip r:embed="rId10"/>
                          <a:stretch>
                            <a:fillRect/>
                          </a:stretch>
                        </pic:blipFill>
                        <pic:spPr>
                          <a:xfrm>
                            <a:off x="0" y="0"/>
                            <a:ext cx="3853180" cy="251269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盘州市石桥银杏加油站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864"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盘州市石桥银杏加油站位于贵州省六盘水市盘州市石桥镇南冲村，经济类型为个人独资企业，投资人：严肯，该加油站加油区设置2台双枪潜油泵加油机（其中92#汽油加油机1台，0#柴油加油机1台），油罐区位于加油站东北侧，为非承重罐池，罐区设置1个15m³的SF双层埋地卧式92#汽油储罐和1个25m³的SF双层埋地卧式0#柴油储罐，总容积为27.5m3（柴油容积折半计算），属于三级加油站。</w:t>
            </w:r>
          </w:p>
          <w:p>
            <w:pPr>
              <w:pStyle w:val="20"/>
              <w:bidi w:val="0"/>
              <w:ind w:firstLine="480" w:firstLineChars="200"/>
              <w:rPr>
                <w:rFonts w:hint="eastAsia"/>
                <w:lang w:eastAsia="zh-CN"/>
              </w:rPr>
            </w:pPr>
            <w:r>
              <w:rPr>
                <w:rFonts w:hint="eastAsia"/>
                <w:lang w:eastAsia="zh-CN"/>
              </w:rPr>
              <w:t>评价结论：盘州市石桥银杏加油站现状条件符合现行国家相关法律、法规的相关要求，符合《危险化学品经营许可证管理办法》规定的安全经营条件。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28720" cy="2456180"/>
                  <wp:effectExtent l="0" t="0" r="5080" b="1270"/>
                  <wp:docPr id="4" name="图片 4"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查 (2)"/>
                          <pic:cNvPicPr>
                            <a:picLocks noChangeAspect="1"/>
                          </pic:cNvPicPr>
                        </pic:nvPicPr>
                        <pic:blipFill>
                          <a:blip r:embed="rId11"/>
                          <a:stretch>
                            <a:fillRect/>
                          </a:stretch>
                        </pic:blipFill>
                        <pic:spPr>
                          <a:xfrm>
                            <a:off x="0" y="0"/>
                            <a:ext cx="3728720" cy="24561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766185" cy="2386330"/>
                  <wp:effectExtent l="0" t="0" r="5715" b="13970"/>
                  <wp:docPr id="5" name="图片 5"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检查 (6)"/>
                          <pic:cNvPicPr>
                            <a:picLocks noChangeAspect="1"/>
                          </pic:cNvPicPr>
                        </pic:nvPicPr>
                        <pic:blipFill>
                          <a:blip r:embed="rId12"/>
                          <a:stretch>
                            <a:fillRect/>
                          </a:stretch>
                        </pic:blipFill>
                        <pic:spPr>
                          <a:xfrm>
                            <a:off x="0" y="0"/>
                            <a:ext cx="3766185" cy="23863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784600" cy="2677160"/>
                  <wp:effectExtent l="0" t="0" r="6350" b="8890"/>
                  <wp:docPr id="6" name="图片 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检查 (1)"/>
                          <pic:cNvPicPr>
                            <a:picLocks noChangeAspect="1"/>
                          </pic:cNvPicPr>
                        </pic:nvPicPr>
                        <pic:blipFill>
                          <a:blip r:embed="rId13"/>
                          <a:stretch>
                            <a:fillRect/>
                          </a:stretch>
                        </pic:blipFill>
                        <pic:spPr>
                          <a:xfrm>
                            <a:off x="0" y="0"/>
                            <a:ext cx="3784600" cy="267716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普安县中鸿石油化工有限公司东城区加油站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0"/>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普安县中鸿石油化工有限公司东城区加油站位于贵州省黔西南州普安县东城区茶源街道新市民社区，经济类型为其他有限责任公司分公司，负责人：邬建中，该加油站加油区设置6台双枪潜油泵加油机（其中汽油加油机4台，柴油加油机2台），油罐区位于加油站西北侧，为非承重罐池，罐区设置3个30m³的SF双层埋地卧式汽油储罐（其中92#汽油储罐2个、95#汽油储罐1个）和2个50m³的SF双层埋地卧式0#柴油储罐，总容积为140m3（柴油容积折半计算），属于二级加油站。</w:t>
            </w:r>
          </w:p>
          <w:p>
            <w:pPr>
              <w:pStyle w:val="20"/>
              <w:bidi w:val="0"/>
              <w:ind w:firstLine="480" w:firstLineChars="200"/>
              <w:rPr>
                <w:rFonts w:hint="eastAsia"/>
                <w:lang w:eastAsia="zh-CN"/>
              </w:rPr>
            </w:pPr>
            <w:r>
              <w:rPr>
                <w:rFonts w:hint="eastAsia"/>
                <w:lang w:eastAsia="zh-CN"/>
              </w:rPr>
              <w:t>评价结论：普安县中鸿石油化工有限公司东城区加油站现状条件符合现行国家相关法律、法规的相关要求，符合《危险化学品经营许可证管理办法》规定的安全经营条件。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07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38550" cy="2538730"/>
                  <wp:effectExtent l="0" t="0" r="0" b="13970"/>
                  <wp:docPr id="7" name="图片 7" descr="检查（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查（5）"/>
                          <pic:cNvPicPr>
                            <a:picLocks noChangeAspect="1"/>
                          </pic:cNvPicPr>
                        </pic:nvPicPr>
                        <pic:blipFill>
                          <a:blip r:embed="rId14"/>
                          <a:stretch>
                            <a:fillRect/>
                          </a:stretch>
                        </pic:blipFill>
                        <pic:spPr>
                          <a:xfrm>
                            <a:off x="0" y="0"/>
                            <a:ext cx="3638550" cy="25387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664585" cy="2418080"/>
                  <wp:effectExtent l="0" t="0" r="12065" b="1270"/>
                  <wp:docPr id="8" name="图片 8"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检查 (6)"/>
                          <pic:cNvPicPr>
                            <a:picLocks noChangeAspect="1"/>
                          </pic:cNvPicPr>
                        </pic:nvPicPr>
                        <pic:blipFill>
                          <a:blip r:embed="rId15"/>
                          <a:stretch>
                            <a:fillRect/>
                          </a:stretch>
                        </pic:blipFill>
                        <pic:spPr>
                          <a:xfrm>
                            <a:off x="0" y="0"/>
                            <a:ext cx="3664585" cy="24180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06190" cy="2619375"/>
                  <wp:effectExtent l="0" t="0" r="3810" b="9525"/>
                  <wp:docPr id="9" name="图片 9"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检查 (3)"/>
                          <pic:cNvPicPr>
                            <a:picLocks noChangeAspect="1"/>
                          </pic:cNvPicPr>
                        </pic:nvPicPr>
                        <pic:blipFill>
                          <a:blip r:embed="rId16"/>
                          <a:stretch>
                            <a:fillRect/>
                          </a:stretch>
                        </pic:blipFill>
                        <pic:spPr>
                          <a:xfrm>
                            <a:off x="0" y="0"/>
                            <a:ext cx="3806190" cy="261937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eastAsia="宋体"/>
                <w:lang w:val="en-US" w:eastAsia="zh-CN"/>
              </w:rPr>
            </w:pPr>
            <w:r>
              <w:rPr>
                <w:rFonts w:hint="eastAsia" w:ascii="宋体" w:hAnsi="宋体" w:eastAsia="宋体" w:cs="Times New Roman"/>
                <w:kern w:val="0"/>
                <w:sz w:val="24"/>
                <w:szCs w:val="20"/>
                <w:lang w:val="en-US" w:eastAsia="zh-CN" w:bidi="ar-SA"/>
              </w:rPr>
              <w:t>中国石化销售股份有限公司贵州贵阳云岩石油分公司长兴加油站原址改扩建项目安全条件评价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lang w:val="en-US" w:eastAsia="zh-CN"/>
              </w:rPr>
              <w:t>S011053000110202001798</w:t>
            </w:r>
          </w:p>
        </w:tc>
        <w:tc>
          <w:tcPr>
            <w:tcW w:w="1872"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郦旭锋、杨尚达 2023.9.23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中华人民共和国主席令第88号修改，自2021年9月1日起施行）、《危险化学品安全管理条例》（国务院令2011年第591号，2013年第645号令修改）及《危险化学品建设项目安全监督管理办法》（原国家安全生产监督管理总局令第45号发布，79号令修改)、《贵州省危险化学品建设项目安全监督管理实施细则》（原黔安监管三〔2018〕3号)等国家法律、法规的有关要求，推进中国石化销售股份有限公司贵州贵阳云岩石油分公司长兴加油站原址改扩建项目在设计上实现本质安全化，山东新安达工程咨询有限公司受中国石化销售股份有限公司贵州贵阳石油分公司的委托，对中国石化销售股份有限公司贵州贵阳云岩石油分公司长兴加油站原址改扩建项目进行安全条件评价。</w:t>
            </w:r>
          </w:p>
          <w:p>
            <w:pPr>
              <w:pStyle w:val="20"/>
              <w:bidi w:val="0"/>
              <w:ind w:firstLine="480" w:firstLineChars="200"/>
              <w:rPr>
                <w:rFonts w:hint="eastAsia"/>
                <w:lang w:eastAsia="zh-CN"/>
              </w:rPr>
            </w:pPr>
            <w:r>
              <w:rPr>
                <w:rFonts w:hint="eastAsia"/>
                <w:lang w:eastAsia="zh-CN"/>
              </w:rPr>
              <w:t>评价结论：中国石化销售股份有限公司贵州贵阳云岩石油分公司长兴加油站原址改扩建项目采用的工艺成熟，技术安全可靠；项目选址和总体布局能符合国家有关法律、行政法规、部门规章和标准、规范的要求；具备相关法律法规的安全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34080" cy="2374265"/>
                  <wp:effectExtent l="0" t="0" r="13970" b="6985"/>
                  <wp:docPr id="1" name="图片 1"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检查 (11)"/>
                          <pic:cNvPicPr>
                            <a:picLocks noChangeAspect="1"/>
                          </pic:cNvPicPr>
                        </pic:nvPicPr>
                        <pic:blipFill>
                          <a:blip r:embed="rId17"/>
                          <a:stretch>
                            <a:fillRect/>
                          </a:stretch>
                        </pic:blipFill>
                        <pic:spPr>
                          <a:xfrm>
                            <a:off x="0" y="0"/>
                            <a:ext cx="3434080" cy="237426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16630" cy="2074545"/>
                  <wp:effectExtent l="0" t="0" r="7620" b="1905"/>
                  <wp:docPr id="2" name="图片 2"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检查 (6)"/>
                          <pic:cNvPicPr>
                            <a:picLocks noChangeAspect="1"/>
                          </pic:cNvPicPr>
                        </pic:nvPicPr>
                        <pic:blipFill>
                          <a:blip r:embed="rId18"/>
                          <a:stretch>
                            <a:fillRect/>
                          </a:stretch>
                        </pic:blipFill>
                        <pic:spPr>
                          <a:xfrm>
                            <a:off x="0" y="0"/>
                            <a:ext cx="3516630" cy="207454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472180" cy="2251075"/>
                  <wp:effectExtent l="0" t="0" r="13970" b="15875"/>
                  <wp:docPr id="3" name="图片 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查 (1)"/>
                          <pic:cNvPicPr>
                            <a:picLocks noChangeAspect="1"/>
                          </pic:cNvPicPr>
                        </pic:nvPicPr>
                        <pic:blipFill>
                          <a:blip r:embed="rId19"/>
                          <a:stretch>
                            <a:fillRect/>
                          </a:stretch>
                        </pic:blipFill>
                        <pic:spPr>
                          <a:xfrm>
                            <a:off x="0" y="0"/>
                            <a:ext cx="3472180" cy="225107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黔西南州聚信能源发展有限责任公司</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杨尚达</w:t>
            </w:r>
          </w:p>
        </w:tc>
        <w:tc>
          <w:tcPr>
            <w:tcW w:w="3864"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杨尚达、郦旭锋 2024.5.22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
              <w:rPr>
                <w:rFonts w:hint="eastAsia"/>
                <w:lang w:val="en-US" w:eastAsia="zh-CN"/>
              </w:rPr>
            </w:pPr>
            <w:r>
              <w:rPr>
                <w:rFonts w:hint="eastAsia" w:ascii="宋体" w:hAnsi="宋体" w:cs="Times New Roman"/>
                <w:kern w:val="0"/>
                <w:sz w:val="24"/>
                <w:szCs w:val="20"/>
                <w:lang w:val="en-US" w:eastAsia="zh-CN" w:bidi="ar-SA"/>
              </w:rPr>
              <w:t xml:space="preserve">   </w:t>
            </w: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主席令[2021年]第88号）、《危险化学品安全管理条例》（国务院令[2011]第591号，2013年第645号令修改）等国家法律、法规的有关要求，推进黔西南州聚信能源发展有限责任公司实现本质安全化，山东新安达工程咨询有限公司受黔西南州聚信能源发展有限责任公司的委托，对黔西南州聚信能源发展有限责任公司进行安全条件评价。</w:t>
            </w:r>
          </w:p>
          <w:p>
            <w:pPr>
              <w:pStyle w:val="20"/>
              <w:bidi w:val="0"/>
              <w:ind w:firstLine="480" w:firstLineChars="200"/>
              <w:rPr>
                <w:rFonts w:hint="eastAsia"/>
                <w:lang w:eastAsia="zh-CN"/>
              </w:rPr>
            </w:pPr>
            <w:r>
              <w:rPr>
                <w:rFonts w:hint="eastAsia"/>
                <w:lang w:eastAsia="zh-CN"/>
              </w:rPr>
              <w:t>评价结论：该项目不涉及危险化学品重大危险源。</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07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05835" cy="2496820"/>
                  <wp:effectExtent l="0" t="0" r="18415" b="17780"/>
                  <wp:docPr id="10" name="图片 10" descr="现场照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现场照片 (1)"/>
                          <pic:cNvPicPr>
                            <a:picLocks noChangeAspect="1"/>
                          </pic:cNvPicPr>
                        </pic:nvPicPr>
                        <pic:blipFill>
                          <a:blip r:embed="rId20"/>
                          <a:stretch>
                            <a:fillRect/>
                          </a:stretch>
                        </pic:blipFill>
                        <pic:spPr>
                          <a:xfrm>
                            <a:off x="0" y="0"/>
                            <a:ext cx="3505835" cy="249682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57270" cy="2365375"/>
                  <wp:effectExtent l="0" t="0" r="5080" b="15875"/>
                  <wp:docPr id="11" name="图片 11" descr="现场照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现场照片 (2)"/>
                          <pic:cNvPicPr>
                            <a:picLocks noChangeAspect="1"/>
                          </pic:cNvPicPr>
                        </pic:nvPicPr>
                        <pic:blipFill>
                          <a:blip r:embed="rId21"/>
                          <a:stretch>
                            <a:fillRect/>
                          </a:stretch>
                        </pic:blipFill>
                        <pic:spPr>
                          <a:xfrm>
                            <a:off x="0" y="0"/>
                            <a:ext cx="3557270" cy="236537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604260" cy="2322830"/>
                  <wp:effectExtent l="0" t="0" r="15240" b="1270"/>
                  <wp:docPr id="12" name="图片 12" descr="现场照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现场照片 (4)"/>
                          <pic:cNvPicPr>
                            <a:picLocks noChangeAspect="1"/>
                          </pic:cNvPicPr>
                        </pic:nvPicPr>
                        <pic:blipFill>
                          <a:blip r:embed="rId22"/>
                          <a:stretch>
                            <a:fillRect/>
                          </a:stretch>
                        </pic:blipFill>
                        <pic:spPr>
                          <a:xfrm>
                            <a:off x="0" y="0"/>
                            <a:ext cx="3604260" cy="232283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贞丰县信辉工业气体经营部</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eastAsia"/>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S011053000110202001798</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许丹、杨尚达 2024.4.23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贞丰县信辉工业气体经营部位于贞丰县龙场镇牌坊边，经济类型为个体工商户，经营者：张飞。该经营部主要经营氧气、乙炔、氩气及二氧化碳等工业气体，经营方式为零售，通过外购的瓶装工业气体在经营部临时储存后销售至周边用户，经营部内最大总储存量不超过1t。经营部于2021年08月23日取得贞丰县应急管理局核发的《危险化学品经营许可证》（黔西南贞安（乙）字（2021）00002），有效期为2021年08月23日至2024年08月22日，经营范围为氧气、乙炔、氩气、二氧化碳。</w:t>
            </w:r>
          </w:p>
          <w:p>
            <w:pPr>
              <w:pStyle w:val="20"/>
              <w:bidi w:val="0"/>
              <w:ind w:firstLine="480" w:firstLineChars="200"/>
              <w:rPr>
                <w:rFonts w:hint="eastAsia"/>
                <w:lang w:eastAsia="zh-CN"/>
              </w:rPr>
            </w:pPr>
            <w:r>
              <w:rPr>
                <w:rFonts w:hint="eastAsia"/>
                <w:lang w:eastAsia="zh-CN"/>
              </w:rPr>
              <w:t>评价结论：贞丰县信辉工业气体经营部安全现状条件符合现行国家相关法律、法规的相关要求，符合《危险化学品经营许可证管理办法》（原安监总局令〔2012〕第55号，原安监总局2015年79号令修改）规定的安全经营条件。</w:t>
            </w:r>
          </w:p>
          <w:p>
            <w:pPr>
              <w:pStyle w:val="20"/>
              <w:bidi w:val="0"/>
              <w:ind w:firstLine="480" w:firstLineChars="200"/>
              <w:rPr>
                <w:rFonts w:hint="eastAsia"/>
                <w:lang w:eastAsia="zh-CN"/>
              </w:rPr>
            </w:pP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68065" cy="2526030"/>
                  <wp:effectExtent l="0" t="0" r="13335" b="7620"/>
                  <wp:docPr id="13" name="图片 1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检查 (1)"/>
                          <pic:cNvPicPr>
                            <a:picLocks noChangeAspect="1"/>
                          </pic:cNvPicPr>
                        </pic:nvPicPr>
                        <pic:blipFill>
                          <a:blip r:embed="rId23"/>
                          <a:stretch>
                            <a:fillRect/>
                          </a:stretch>
                        </pic:blipFill>
                        <pic:spPr>
                          <a:xfrm>
                            <a:off x="0" y="0"/>
                            <a:ext cx="3568065" cy="25260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61080" cy="2242185"/>
                  <wp:effectExtent l="0" t="0" r="1270" b="5715"/>
                  <wp:docPr id="14" name="图片 14"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检查 (3)"/>
                          <pic:cNvPicPr>
                            <a:picLocks noChangeAspect="1"/>
                          </pic:cNvPicPr>
                        </pic:nvPicPr>
                        <pic:blipFill>
                          <a:blip r:embed="rId24"/>
                          <a:stretch>
                            <a:fillRect/>
                          </a:stretch>
                        </pic:blipFill>
                        <pic:spPr>
                          <a:xfrm>
                            <a:off x="0" y="0"/>
                            <a:ext cx="3561080" cy="224218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484245" cy="2447925"/>
                  <wp:effectExtent l="0" t="0" r="1905" b="9525"/>
                  <wp:docPr id="15" name="图片 15"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检查 (5)"/>
                          <pic:cNvPicPr>
                            <a:picLocks noChangeAspect="1"/>
                          </pic:cNvPicPr>
                        </pic:nvPicPr>
                        <pic:blipFill>
                          <a:blip r:embed="rId25"/>
                          <a:stretch>
                            <a:fillRect/>
                          </a:stretch>
                        </pic:blipFill>
                        <pic:spPr>
                          <a:xfrm>
                            <a:off x="0" y="0"/>
                            <a:ext cx="3484245" cy="244792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贞丰县长田加油站合伙企业（普通合伙）贞丰县长田镇加油站新建项目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安全设施竣工验收评价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eastAsia"/>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S011053000110202001798</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许丹、杨尚达 2024.4.23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贞丰县长田加油站合伙企业（普通合伙）贞丰县长田镇加油站根据黔西南州商务局文件《黔西南州商务局关于贞丰县北盘江镇新屯加油站等2座加油站申请加油站网点规划确认的批复》（州商许准[2023]4号）进行建设，项目位于贵州省黔西南布依族苗族自治州贞丰县长田镇金叶社区，加油站设置3个SF双层储油罐，其中40m³的0#柴油储罐1个，40m³的92#汽油储罐1个和40m³的95#汽油储罐1个，总容积100m3（柴油折半），为二级加油站。加油站已取得黔西南布依族苗族自治州应急管理局文件《危险化学品建设项目安全条件、安全设施设计审查意见书》（州应急审危字〔2023〕22号）。</w:t>
            </w:r>
          </w:p>
          <w:p>
            <w:pPr>
              <w:pStyle w:val="20"/>
              <w:bidi w:val="0"/>
              <w:ind w:firstLine="480" w:firstLineChars="200"/>
              <w:rPr>
                <w:rFonts w:hint="eastAsia"/>
                <w:lang w:eastAsia="zh-CN"/>
              </w:rPr>
            </w:pPr>
            <w:r>
              <w:rPr>
                <w:rFonts w:hint="eastAsia"/>
                <w:lang w:eastAsia="zh-CN"/>
              </w:rPr>
              <w:t>评价结论：贞丰县长田加油站合伙企业（普通合伙）贞丰县长田镇加油站新建项目符合国家有关法律、行政法规、部门规章和标准、规范、规程的要求，达到安全设施竣工验收条件。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24860" cy="2231390"/>
                  <wp:effectExtent l="0" t="0" r="8890" b="16510"/>
                  <wp:docPr id="23" name="图片 23"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检查 (7)"/>
                          <pic:cNvPicPr>
                            <a:picLocks noChangeAspect="1"/>
                          </pic:cNvPicPr>
                        </pic:nvPicPr>
                        <pic:blipFill>
                          <a:blip r:embed="rId26"/>
                          <a:stretch>
                            <a:fillRect/>
                          </a:stretch>
                        </pic:blipFill>
                        <pic:spPr>
                          <a:xfrm>
                            <a:off x="0" y="0"/>
                            <a:ext cx="3324860" cy="223139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373120" cy="2079625"/>
                  <wp:effectExtent l="0" t="0" r="17780" b="15875"/>
                  <wp:docPr id="24" name="图片 24"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检查 (5)"/>
                          <pic:cNvPicPr>
                            <a:picLocks noChangeAspect="1"/>
                          </pic:cNvPicPr>
                        </pic:nvPicPr>
                        <pic:blipFill>
                          <a:blip r:embed="rId27"/>
                          <a:stretch>
                            <a:fillRect/>
                          </a:stretch>
                        </pic:blipFill>
                        <pic:spPr>
                          <a:xfrm>
                            <a:off x="0" y="0"/>
                            <a:ext cx="3373120" cy="207962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321050" cy="2315210"/>
                  <wp:effectExtent l="0" t="0" r="12700" b="8890"/>
                  <wp:docPr id="25" name="图片 2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1)"/>
                          <pic:cNvPicPr>
                            <a:picLocks noChangeAspect="1"/>
                          </pic:cNvPicPr>
                        </pic:nvPicPr>
                        <pic:blipFill>
                          <a:blip r:embed="rId28"/>
                          <a:stretch>
                            <a:fillRect/>
                          </a:stretch>
                        </pic:blipFill>
                        <pic:spPr>
                          <a:xfrm>
                            <a:off x="0" y="0"/>
                            <a:ext cx="3321050" cy="231521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六枝特区亿杰商贸有限公司中亿石化加油站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eastAsia"/>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S011053000110202001798</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许丹、杨尚达 2024.3.9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六枝特区亿杰商贸有限公司中亿石化加油站位于贵州省六盘水市六枝特区郎岱镇十里大街北侧，经济类型为有限责任公司分公司，负责人：陈金森，该加油站加油区设置4台潜油泵加油机（其中汽油加油机3台，柴油加油机1台），油罐区位于加油区车行道下方，为承重结构，罐区设置3个50m³的SF双层埋地卧式储罐（其中92#汽油储罐1个、95#汽油储罐1个和0#柴油储罐1个，总容积为125m3（柴油容积折半计算），属于二级加油站。</w:t>
            </w:r>
          </w:p>
          <w:p>
            <w:pPr>
              <w:pStyle w:val="20"/>
              <w:bidi w:val="0"/>
              <w:ind w:firstLine="480" w:firstLineChars="200"/>
              <w:rPr>
                <w:rFonts w:hint="eastAsia"/>
                <w:lang w:eastAsia="zh-CN"/>
              </w:rPr>
            </w:pPr>
            <w:r>
              <w:rPr>
                <w:rFonts w:hint="eastAsia"/>
                <w:lang w:eastAsia="zh-CN"/>
              </w:rPr>
              <w:t>评价结论：六枝特区亿杰商贸有限公司中亿石化加油站现状条件符合现行国家相关法律、法规的相关要求，符合《危险化学品经营许可证管理办法》规定的安全经营条件。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03930" cy="2237105"/>
                  <wp:effectExtent l="0" t="0" r="1270" b="10795"/>
                  <wp:docPr id="29" name="图片 29" descr="检查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检查 (9)"/>
                          <pic:cNvPicPr>
                            <a:picLocks noChangeAspect="1"/>
                          </pic:cNvPicPr>
                        </pic:nvPicPr>
                        <pic:blipFill>
                          <a:blip r:embed="rId29"/>
                          <a:stretch>
                            <a:fillRect/>
                          </a:stretch>
                        </pic:blipFill>
                        <pic:spPr>
                          <a:xfrm>
                            <a:off x="0" y="0"/>
                            <a:ext cx="3503930" cy="223710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260725" cy="2207260"/>
                  <wp:effectExtent l="0" t="0" r="15875" b="2540"/>
                  <wp:docPr id="30" name="图片 3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检查 (1)"/>
                          <pic:cNvPicPr>
                            <a:picLocks noChangeAspect="1"/>
                          </pic:cNvPicPr>
                        </pic:nvPicPr>
                        <pic:blipFill>
                          <a:blip r:embed="rId30"/>
                          <a:stretch>
                            <a:fillRect/>
                          </a:stretch>
                        </pic:blipFill>
                        <pic:spPr>
                          <a:xfrm>
                            <a:off x="0" y="0"/>
                            <a:ext cx="3260725" cy="220726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280410" cy="2413635"/>
                  <wp:effectExtent l="0" t="0" r="15240" b="5715"/>
                  <wp:docPr id="31" name="图片 31"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检查 (5)"/>
                          <pic:cNvPicPr>
                            <a:picLocks noChangeAspect="1"/>
                          </pic:cNvPicPr>
                        </pic:nvPicPr>
                        <pic:blipFill>
                          <a:blip r:embed="rId31"/>
                          <a:stretch>
                            <a:fillRect/>
                          </a:stretch>
                        </pic:blipFill>
                        <pic:spPr>
                          <a:xfrm>
                            <a:off x="0" y="0"/>
                            <a:ext cx="3280410" cy="241363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2"/>
        <w:jc w:val="both"/>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Bdw8sBAACd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NeUOG5x4pfv3y4/fl1+fiXL&#10;avUyS9QHqDHzLmBuGt76AdNnP6AzMx9UtPmLnAjGUeDzVWA5JCLyo/Vqva4wJDA2XxCfPTwPEdI7&#10;6S3JRkMjTrAIy08fII2pc0qu5vytNqZM0bi/HIiZPSz3PvaYrTTsh4nQ3rdn5NPj8BvqcNcpMe8d&#10;apv3ZDbibOxn4xiiPnRlkXI9CG+OCZsoveUKI+xUGKdW2E0bltfiz3vJevi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NgXcPLAQAAnQMAAA4AAAAAAAAAAQAgAAAAHgEAAGRycy9lMm9E&#10;b2MueG1sUEsFBgAAAAAGAAYAWQEAAFsF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zZDM1ZmJiMDFhOGI2ZDhiOGRlMWVjNDU0MDc0YTgifQ=="/>
  </w:docVars>
  <w:rsids>
    <w:rsidRoot w:val="00E3751A"/>
    <w:rsid w:val="00047227"/>
    <w:rsid w:val="00303C12"/>
    <w:rsid w:val="004D1AF7"/>
    <w:rsid w:val="00756850"/>
    <w:rsid w:val="00C75118"/>
    <w:rsid w:val="00C82162"/>
    <w:rsid w:val="00E3751A"/>
    <w:rsid w:val="01381A2C"/>
    <w:rsid w:val="0153731B"/>
    <w:rsid w:val="01657072"/>
    <w:rsid w:val="067C6F0E"/>
    <w:rsid w:val="06AF67EC"/>
    <w:rsid w:val="06EF6353"/>
    <w:rsid w:val="07D32EB9"/>
    <w:rsid w:val="080D0C1C"/>
    <w:rsid w:val="086E6C35"/>
    <w:rsid w:val="0971665B"/>
    <w:rsid w:val="0A3600A6"/>
    <w:rsid w:val="0E53337E"/>
    <w:rsid w:val="0F78192E"/>
    <w:rsid w:val="145C663E"/>
    <w:rsid w:val="15993777"/>
    <w:rsid w:val="17810296"/>
    <w:rsid w:val="17C601C4"/>
    <w:rsid w:val="18255C0B"/>
    <w:rsid w:val="188D103C"/>
    <w:rsid w:val="18CA2EBE"/>
    <w:rsid w:val="19702E1E"/>
    <w:rsid w:val="1B5944E3"/>
    <w:rsid w:val="1B7B2F28"/>
    <w:rsid w:val="1B9F4DB7"/>
    <w:rsid w:val="1CD17A8D"/>
    <w:rsid w:val="1DC009D9"/>
    <w:rsid w:val="1E4950BB"/>
    <w:rsid w:val="20FA7494"/>
    <w:rsid w:val="23356346"/>
    <w:rsid w:val="25161A51"/>
    <w:rsid w:val="2583798D"/>
    <w:rsid w:val="25AB5CCE"/>
    <w:rsid w:val="270818BC"/>
    <w:rsid w:val="276E1EEA"/>
    <w:rsid w:val="28843CDA"/>
    <w:rsid w:val="29925FE1"/>
    <w:rsid w:val="29F53ECF"/>
    <w:rsid w:val="2AE47987"/>
    <w:rsid w:val="2AE81386"/>
    <w:rsid w:val="2B577D1D"/>
    <w:rsid w:val="2CEC5B86"/>
    <w:rsid w:val="2D0A3392"/>
    <w:rsid w:val="2DBA3B8A"/>
    <w:rsid w:val="2E046C06"/>
    <w:rsid w:val="2E2E1BF1"/>
    <w:rsid w:val="2E52714C"/>
    <w:rsid w:val="2FE4338B"/>
    <w:rsid w:val="31722F92"/>
    <w:rsid w:val="32CC6EE2"/>
    <w:rsid w:val="33422C3A"/>
    <w:rsid w:val="372972D4"/>
    <w:rsid w:val="379647FB"/>
    <w:rsid w:val="385C2AEB"/>
    <w:rsid w:val="391657EE"/>
    <w:rsid w:val="39905747"/>
    <w:rsid w:val="3A002F75"/>
    <w:rsid w:val="3A7474D8"/>
    <w:rsid w:val="3C7D28D5"/>
    <w:rsid w:val="3D3B399E"/>
    <w:rsid w:val="3DEA3C38"/>
    <w:rsid w:val="3EE84724"/>
    <w:rsid w:val="41912F5E"/>
    <w:rsid w:val="42AB0C22"/>
    <w:rsid w:val="42C53343"/>
    <w:rsid w:val="43C0308C"/>
    <w:rsid w:val="44666E13"/>
    <w:rsid w:val="44890DCE"/>
    <w:rsid w:val="48EC5AF0"/>
    <w:rsid w:val="48FD1AAC"/>
    <w:rsid w:val="4A437403"/>
    <w:rsid w:val="4B686EC6"/>
    <w:rsid w:val="4C4675A4"/>
    <w:rsid w:val="4C6E107B"/>
    <w:rsid w:val="4DB306BD"/>
    <w:rsid w:val="4E0D6A1F"/>
    <w:rsid w:val="4E274960"/>
    <w:rsid w:val="4E3D5914"/>
    <w:rsid w:val="4F093341"/>
    <w:rsid w:val="4F0D5917"/>
    <w:rsid w:val="4F60078E"/>
    <w:rsid w:val="4FE84280"/>
    <w:rsid w:val="512C352F"/>
    <w:rsid w:val="52C4230E"/>
    <w:rsid w:val="52E07D49"/>
    <w:rsid w:val="53F37C81"/>
    <w:rsid w:val="54345BD2"/>
    <w:rsid w:val="55397BB0"/>
    <w:rsid w:val="55696422"/>
    <w:rsid w:val="56D3239C"/>
    <w:rsid w:val="57800B40"/>
    <w:rsid w:val="5A2F4644"/>
    <w:rsid w:val="5A435025"/>
    <w:rsid w:val="5BF832F3"/>
    <w:rsid w:val="60B460AF"/>
    <w:rsid w:val="60C84554"/>
    <w:rsid w:val="61513A75"/>
    <w:rsid w:val="62E97B34"/>
    <w:rsid w:val="64652DDC"/>
    <w:rsid w:val="658063A7"/>
    <w:rsid w:val="6632513F"/>
    <w:rsid w:val="66C53C4A"/>
    <w:rsid w:val="67600A2D"/>
    <w:rsid w:val="67D14539"/>
    <w:rsid w:val="67D23BAA"/>
    <w:rsid w:val="6AA57F27"/>
    <w:rsid w:val="6BD4664B"/>
    <w:rsid w:val="6CB1098B"/>
    <w:rsid w:val="6CBF703A"/>
    <w:rsid w:val="6D1139EB"/>
    <w:rsid w:val="6EF4064C"/>
    <w:rsid w:val="6F270A25"/>
    <w:rsid w:val="6F3D1DEF"/>
    <w:rsid w:val="6F67290E"/>
    <w:rsid w:val="6FE23626"/>
    <w:rsid w:val="6FFF314A"/>
    <w:rsid w:val="73001856"/>
    <w:rsid w:val="737D1DEA"/>
    <w:rsid w:val="73AA2228"/>
    <w:rsid w:val="75816D2C"/>
    <w:rsid w:val="766C59F7"/>
    <w:rsid w:val="76E25EB6"/>
    <w:rsid w:val="77832F9B"/>
    <w:rsid w:val="77F93538"/>
    <w:rsid w:val="78644E98"/>
    <w:rsid w:val="79302291"/>
    <w:rsid w:val="7AD10B53"/>
    <w:rsid w:val="7B914393"/>
    <w:rsid w:val="7C304A31"/>
    <w:rsid w:val="7E2B6BC6"/>
    <w:rsid w:val="7EA13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4">
    <w:name w:val="heading 2"/>
    <w:basedOn w:val="1"/>
    <w:next w:val="1"/>
    <w:link w:val="21"/>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99"/>
    <w:rPr>
      <w:sz w:val="28"/>
      <w:szCs w:val="28"/>
    </w:rPr>
  </w:style>
  <w:style w:type="paragraph" w:styleId="5">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next w:val="7"/>
    <w:autoRedefine/>
    <w:unhideWhenUsed/>
    <w:qFormat/>
    <w:uiPriority w:val="99"/>
    <w:pPr>
      <w:spacing w:after="120"/>
      <w:ind w:left="420" w:leftChars="200"/>
    </w:pPr>
  </w:style>
  <w:style w:type="paragraph" w:styleId="7">
    <w:name w:val="toc 3"/>
    <w:basedOn w:val="1"/>
    <w:next w:val="1"/>
    <w:autoRedefine/>
    <w:qFormat/>
    <w:uiPriority w:val="0"/>
    <w:pPr>
      <w:ind w:left="420"/>
      <w:jc w:val="left"/>
    </w:pPr>
    <w:rPr>
      <w:i/>
      <w:iCs/>
      <w:sz w:val="20"/>
      <w:szCs w:val="20"/>
    </w:rPr>
  </w:style>
  <w:style w:type="paragraph" w:styleId="8">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List Bullet 5"/>
    <w:basedOn w:val="1"/>
    <w:autoRedefine/>
    <w:qFormat/>
    <w:uiPriority w:val="0"/>
    <w:pPr>
      <w:numPr>
        <w:ilvl w:val="0"/>
        <w:numId w:val="1"/>
      </w:numPr>
    </w:pPr>
  </w:style>
  <w:style w:type="paragraph" w:styleId="10">
    <w:name w:val="Balloon Text"/>
    <w:basedOn w:val="1"/>
    <w:link w:val="27"/>
    <w:autoRedefine/>
    <w:qFormat/>
    <w:uiPriority w:val="0"/>
    <w:rPr>
      <w:sz w:val="18"/>
      <w:szCs w:val="18"/>
    </w:rPr>
  </w:style>
  <w:style w:type="paragraph" w:styleId="11">
    <w:name w:val="footer"/>
    <w:basedOn w:val="1"/>
    <w:next w:val="12"/>
    <w:autoRedefine/>
    <w:qFormat/>
    <w:uiPriority w:val="99"/>
    <w:pPr>
      <w:tabs>
        <w:tab w:val="center" w:pos="4153"/>
        <w:tab w:val="right" w:pos="8306"/>
      </w:tabs>
      <w:snapToGrid w:val="0"/>
    </w:pPr>
    <w:rPr>
      <w:sz w:val="18"/>
      <w:szCs w:val="18"/>
    </w:rPr>
  </w:style>
  <w:style w:type="paragraph" w:styleId="12">
    <w:name w:val="Normal (Web)"/>
    <w:basedOn w:val="1"/>
    <w:next w:val="13"/>
    <w:autoRedefine/>
    <w:qFormat/>
    <w:uiPriority w:val="0"/>
    <w:pPr>
      <w:spacing w:before="100" w:beforeAutospacing="1" w:after="100" w:afterAutospacing="1"/>
      <w:jc w:val="left"/>
    </w:pPr>
    <w:rPr>
      <w:kern w:val="0"/>
      <w:sz w:val="24"/>
    </w:rPr>
  </w:style>
  <w:style w:type="paragraph" w:customStyle="1" w:styleId="13">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autoRedefine/>
    <w:qFormat/>
    <w:uiPriority w:val="0"/>
    <w:pPr>
      <w:spacing w:after="120"/>
      <w:ind w:firstLine="420" w:firstLineChars="100"/>
    </w:pPr>
  </w:style>
  <w:style w:type="paragraph" w:styleId="16">
    <w:name w:val="Body Text First Indent 2"/>
    <w:basedOn w:val="6"/>
    <w:next w:val="1"/>
    <w:autoRedefine/>
    <w:unhideWhenUsed/>
    <w:qFormat/>
    <w:uiPriority w:val="99"/>
    <w:pPr>
      <w:ind w:firstLine="420" w:firstLineChars="200"/>
    </w:pPr>
  </w:style>
  <w:style w:type="character" w:styleId="19">
    <w:name w:val="annotation reference"/>
    <w:basedOn w:val="18"/>
    <w:autoRedefine/>
    <w:qFormat/>
    <w:uiPriority w:val="0"/>
    <w:rPr>
      <w:sz w:val="21"/>
      <w:szCs w:val="21"/>
    </w:rPr>
  </w:style>
  <w:style w:type="paragraph" w:customStyle="1" w:styleId="20">
    <w:name w:val="表格"/>
    <w:basedOn w:val="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character" w:customStyle="1" w:styleId="21">
    <w:name w:val="标题 2 Char"/>
    <w:link w:val="4"/>
    <w:autoRedefine/>
    <w:qFormat/>
    <w:uiPriority w:val="0"/>
    <w:rPr>
      <w:rFonts w:eastAsia="楷体_GB2312" w:cs="MS Gothic"/>
      <w:b/>
      <w:snapToGrid w:val="0"/>
      <w:kern w:val="0"/>
      <w:sz w:val="32"/>
      <w:szCs w:val="28"/>
    </w:rPr>
  </w:style>
  <w:style w:type="paragraph" w:customStyle="1" w:styleId="22">
    <w:name w:val="Default"/>
    <w:basedOn w:val="23"/>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3">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4">
    <w:name w:val="样式 标题 2"/>
    <w:basedOn w:val="4"/>
    <w:autoRedefine/>
    <w:qFormat/>
    <w:uiPriority w:val="0"/>
    <w:pPr>
      <w:spacing w:beforeLines="0" w:afterLines="0"/>
    </w:pPr>
    <w:rPr>
      <w:rFonts w:ascii="Arial" w:hAnsi="Arial" w:eastAsia="宋体" w:cs="宋体"/>
      <w:snapToGrid/>
      <w:kern w:val="2"/>
      <w:szCs w:val="32"/>
      <w:lang w:val="zh-CN"/>
    </w:rPr>
  </w:style>
  <w:style w:type="paragraph" w:customStyle="1" w:styleId="2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autoRedefine/>
    <w:qFormat/>
    <w:uiPriority w:val="0"/>
    <w:pPr>
      <w:widowControl/>
    </w:pPr>
    <w:rPr>
      <w:kern w:val="0"/>
      <w:szCs w:val="21"/>
    </w:rPr>
  </w:style>
  <w:style w:type="character" w:customStyle="1" w:styleId="27">
    <w:name w:val="批注框文本 Char"/>
    <w:basedOn w:val="18"/>
    <w:link w:val="10"/>
    <w:autoRedefine/>
    <w:qFormat/>
    <w:uiPriority w:val="0"/>
    <w:rPr>
      <w:rFonts w:ascii="Calibri" w:hAnsi="Calibri"/>
      <w:kern w:val="2"/>
      <w:sz w:val="18"/>
      <w:szCs w:val="18"/>
    </w:rPr>
  </w:style>
  <w:style w:type="paragraph" w:customStyle="1" w:styleId="28">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18</Pages>
  <Words>4361</Words>
  <Characters>6363</Characters>
  <Lines>7</Lines>
  <Paragraphs>2</Paragraphs>
  <TotalTime>1</TotalTime>
  <ScaleCrop>false</ScaleCrop>
  <LinksUpToDate>false</LinksUpToDate>
  <CharactersWithSpaces>6384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2024-08-01T01:34:23Z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39A8AF928CC74314ACA5F36ECEB68974_13</vt:lpwstr>
  </property>
</Properties>
</file>