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贵州宏创气体有限公司年产62万瓶医用气体、食品级气体、消防气体、标准气体充装项目安全设施竣工验收评价报告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贵州宏创气体有限公司是一家新建企业，成立于2023年2月15日，公司类型为有限责任公司，注册资金：叁仟万元整，法人：李益明。</w:t>
            </w:r>
          </w:p>
          <w:p>
            <w:pPr>
              <w:pStyle w:val="20"/>
              <w:bidi w:val="0"/>
              <w:ind w:firstLine="480" w:firstLineChars="200"/>
              <w:rPr>
                <w:rFonts w:hint="eastAsia"/>
                <w:lang w:eastAsia="zh-CN"/>
              </w:rPr>
            </w:pPr>
            <w:r>
              <w:rPr>
                <w:rFonts w:hint="eastAsia"/>
                <w:lang w:eastAsia="zh-CN"/>
              </w:rPr>
              <w:t>公司在贵州省黔南布依族苗族自治州长顺县白云山镇鼠场工业园新建了气体充装站，主要为：（1）新建了5个低温储罐（具体为2个容积30m³液氧储罐、1个容积为30m³的液氮储罐、1个容积为30m³的液氩储罐、1个容积为30m³的二氧化碳储罐）；（2）新建了1栋甲类库房（储存乙炔、丙烷）；（3）液氧、液态二氧化碳、液态氩及液氮4种液态气体的充装设施及充装设备；（4）以及新建其他的相关配套措施，包括办公楼、工具间、配电室等。</w:t>
            </w:r>
          </w:p>
          <w:p>
            <w:pPr>
              <w:pStyle w:val="20"/>
              <w:bidi w:val="0"/>
              <w:ind w:firstLine="480" w:firstLineChars="200"/>
              <w:rPr>
                <w:rFonts w:hint="eastAsia"/>
                <w:lang w:eastAsia="zh-CN"/>
              </w:rPr>
            </w:pPr>
            <w:r>
              <w:rPr>
                <w:rFonts w:hint="eastAsia"/>
                <w:lang w:eastAsia="zh-CN"/>
              </w:rPr>
              <w:t>评价结论：贵州宏创气体有限公司年产62万瓶医用气体、食品级气体、消防气体、标准气体充装项目符合国家有关安全法律、行政法规、部门规章和标准、规范、规程的要求，达到安全设施竣工验收条件。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bookmarkStart w:id="0" w:name="_GoBack"/>
            <w:r>
              <w:rPr>
                <w:rFonts w:hint="default"/>
                <w:lang w:val="en-US" w:eastAsia="zh-CN"/>
              </w:rPr>
              <w:drawing>
                <wp:inline distT="0" distB="0" distL="114300" distR="114300">
                  <wp:extent cx="3632835" cy="2518410"/>
                  <wp:effectExtent l="0" t="0" r="5715" b="15240"/>
                  <wp:docPr id="1" name="图片 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检查 (1)"/>
                          <pic:cNvPicPr>
                            <a:picLocks noChangeAspect="1"/>
                          </pic:cNvPicPr>
                        </pic:nvPicPr>
                        <pic:blipFill>
                          <a:blip r:embed="rId5"/>
                          <a:stretch>
                            <a:fillRect/>
                          </a:stretch>
                        </pic:blipFill>
                        <pic:spPr>
                          <a:xfrm>
                            <a:off x="0" y="0"/>
                            <a:ext cx="3632835" cy="2518410"/>
                          </a:xfrm>
                          <a:prstGeom prst="rect">
                            <a:avLst/>
                          </a:prstGeom>
                        </pic:spPr>
                      </pic:pic>
                    </a:graphicData>
                  </a:graphic>
                </wp:inline>
              </w:drawing>
            </w:r>
            <w:bookmarkEnd w:id="0"/>
          </w:p>
          <w:p>
            <w:pPr>
              <w:rPr>
                <w:rFonts w:hint="default"/>
                <w:lang w:val="en-US" w:eastAsia="zh-CN"/>
              </w:rPr>
            </w:pPr>
            <w:r>
              <w:rPr>
                <w:rFonts w:hint="default"/>
                <w:lang w:val="en-US" w:eastAsia="zh-CN"/>
              </w:rPr>
              <w:drawing>
                <wp:inline distT="0" distB="0" distL="114300" distR="114300">
                  <wp:extent cx="3649345" cy="2524125"/>
                  <wp:effectExtent l="0" t="0" r="8255" b="9525"/>
                  <wp:docPr id="2" name="图片 2"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检查 (8)"/>
                          <pic:cNvPicPr>
                            <a:picLocks noChangeAspect="1"/>
                          </pic:cNvPicPr>
                        </pic:nvPicPr>
                        <pic:blipFill>
                          <a:blip r:embed="rId6"/>
                          <a:stretch>
                            <a:fillRect/>
                          </a:stretch>
                        </pic:blipFill>
                        <pic:spPr>
                          <a:xfrm>
                            <a:off x="0" y="0"/>
                            <a:ext cx="3649345" cy="252412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608070" cy="2447925"/>
                  <wp:effectExtent l="0" t="0" r="11430" b="9525"/>
                  <wp:docPr id="3" name="图片 3" descr="检查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查 (16)"/>
                          <pic:cNvPicPr>
                            <a:picLocks noChangeAspect="1"/>
                          </pic:cNvPicPr>
                        </pic:nvPicPr>
                        <pic:blipFill>
                          <a:blip r:embed="rId7"/>
                          <a:stretch>
                            <a:fillRect/>
                          </a:stretch>
                        </pic:blipFill>
                        <pic:spPr>
                          <a:xfrm>
                            <a:off x="0" y="0"/>
                            <a:ext cx="3608070" cy="244792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贵州贵综能源有限公司贵阳综合保税区一号新能源综合加油站新建项目安全条件评价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郦旭锋、许丹2024.4.12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危险化学品安全管理条例》及《危险化学品建设项目安全监督管理办法》（原国家安全生产监督管理总局令第45号)、《贵州省危险化学品建设项目安全监督管理实施细则》（原黔安监管三 〔2018〕3号）等国家法律、法规的有关要求，推进贵州贵综能源有限公司贵阳综合保税区一号新能源综合加油站建设项目在设计上实现本质安全化，山东新安达工程咨询有限公司受贵州贵综能源有限公司的委托，对贵州贵综能源有限公司贵阳综合保税区一号新能源综合加油站新建项目进行安全条件评价。</w:t>
            </w:r>
          </w:p>
          <w:p>
            <w:pPr>
              <w:pStyle w:val="20"/>
              <w:bidi w:val="0"/>
              <w:ind w:firstLine="480" w:firstLineChars="200"/>
              <w:rPr>
                <w:rFonts w:hint="eastAsia"/>
                <w:lang w:eastAsia="zh-CN"/>
              </w:rPr>
            </w:pPr>
            <w:r>
              <w:rPr>
                <w:rFonts w:hint="eastAsia"/>
                <w:lang w:eastAsia="zh-CN"/>
              </w:rPr>
              <w:t>评价结论：贵州贵综能源有限公司贵阳综合保税区一号新能源综合加油站新建项目采用的工艺成熟，技术安全可靠；项目选址和总体布局能符合国家有关法律、行政法规、部门规章和标准、规范的要求；具备相关法律法规的安全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31260" cy="2456180"/>
                  <wp:effectExtent l="0" t="0" r="2540" b="1270"/>
                  <wp:docPr id="10" name="图片 10"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检查 (4)"/>
                          <pic:cNvPicPr>
                            <a:picLocks noChangeAspect="1"/>
                          </pic:cNvPicPr>
                        </pic:nvPicPr>
                        <pic:blipFill>
                          <a:blip r:embed="rId8"/>
                          <a:stretch>
                            <a:fillRect/>
                          </a:stretch>
                        </pic:blipFill>
                        <pic:spPr>
                          <a:xfrm>
                            <a:off x="0" y="0"/>
                            <a:ext cx="3731260" cy="24561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765550" cy="2507615"/>
                  <wp:effectExtent l="0" t="0" r="6350" b="6985"/>
                  <wp:docPr id="11" name="图片 1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检查 (1)"/>
                          <pic:cNvPicPr>
                            <a:picLocks noChangeAspect="1"/>
                          </pic:cNvPicPr>
                        </pic:nvPicPr>
                        <pic:blipFill>
                          <a:blip r:embed="rId9"/>
                          <a:stretch>
                            <a:fillRect/>
                          </a:stretch>
                        </pic:blipFill>
                        <pic:spPr>
                          <a:xfrm>
                            <a:off x="0" y="0"/>
                            <a:ext cx="3765550" cy="250761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791585" cy="2405380"/>
                  <wp:effectExtent l="0" t="0" r="18415" b="13970"/>
                  <wp:docPr id="12" name="图片 12" descr="考察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考察 (8)"/>
                          <pic:cNvPicPr>
                            <a:picLocks noChangeAspect="1"/>
                          </pic:cNvPicPr>
                        </pic:nvPicPr>
                        <pic:blipFill>
                          <a:blip r:embed="rId10"/>
                          <a:stretch>
                            <a:fillRect/>
                          </a:stretch>
                        </pic:blipFill>
                        <pic:spPr>
                          <a:xfrm>
                            <a:off x="0" y="0"/>
                            <a:ext cx="3791585" cy="240538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毕节市锦宝加油站有限公司迁建项目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安全设施竣工验收评价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郦旭锋、湛超 2024.4.24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毕节市锦宝加油站有限公司迁建项目位于毕节市七星关区碧海街道前所村（厦蓉高速公路海子街匝道旁），加油站设置4个SF双层储油罐，其中40m³的0#柴油储罐1个，40m³的92#汽油储罐2个和40m³的95#汽油储罐1个，总容积140m3（柴油折半），根据《汽车加油加气加氢站技术标准》（GB50156-2021）对加油站的等级划分，建设项目属于二级加油站。</w:t>
            </w:r>
          </w:p>
          <w:p>
            <w:pPr>
              <w:pStyle w:val="20"/>
              <w:bidi w:val="0"/>
              <w:ind w:firstLine="480" w:firstLineChars="200"/>
              <w:rPr>
                <w:rFonts w:hint="eastAsia"/>
                <w:lang w:eastAsia="zh-CN"/>
              </w:rPr>
            </w:pPr>
            <w:r>
              <w:rPr>
                <w:rFonts w:hint="eastAsia"/>
                <w:lang w:eastAsia="zh-CN"/>
              </w:rPr>
              <w:t>评价结论：毕节市锦宝加油站有限公司迁建项目符合国家有关法律、行政法规、部门规章和标准、规范、规程的要求，达到安全设施竣工验收条件。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04260" cy="2376170"/>
                  <wp:effectExtent l="0" t="0" r="15240" b="5080"/>
                  <wp:docPr id="7" name="图片 7"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查 (6)"/>
                          <pic:cNvPicPr>
                            <a:picLocks noChangeAspect="1"/>
                          </pic:cNvPicPr>
                        </pic:nvPicPr>
                        <pic:blipFill>
                          <a:blip r:embed="rId11"/>
                          <a:stretch>
                            <a:fillRect/>
                          </a:stretch>
                        </pic:blipFill>
                        <pic:spPr>
                          <a:xfrm>
                            <a:off x="0" y="0"/>
                            <a:ext cx="3604260" cy="237617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69970" cy="2372995"/>
                  <wp:effectExtent l="0" t="0" r="11430" b="8255"/>
                  <wp:docPr id="8" name="图片 8" descr="检查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检查 (12)"/>
                          <pic:cNvPicPr>
                            <a:picLocks noChangeAspect="1"/>
                          </pic:cNvPicPr>
                        </pic:nvPicPr>
                        <pic:blipFill>
                          <a:blip r:embed="rId12"/>
                          <a:stretch>
                            <a:fillRect/>
                          </a:stretch>
                        </pic:blipFill>
                        <pic:spPr>
                          <a:xfrm rot="10800000">
                            <a:off x="0" y="0"/>
                            <a:ext cx="3569970" cy="237299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632200" cy="2435860"/>
                  <wp:effectExtent l="0" t="0" r="6350" b="2540"/>
                  <wp:docPr id="9" name="图片 9"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检查 (3)"/>
                          <pic:cNvPicPr>
                            <a:picLocks noChangeAspect="1"/>
                          </pic:cNvPicPr>
                        </pic:nvPicPr>
                        <pic:blipFill>
                          <a:blip r:embed="rId13"/>
                          <a:stretch>
                            <a:fillRect/>
                          </a:stretch>
                        </pic:blipFill>
                        <pic:spPr>
                          <a:xfrm>
                            <a:off x="0" y="0"/>
                            <a:ext cx="3632200" cy="243586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兴义市四联加油站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许丹、杨尚达 2024.6.2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兴义市四联加油站成立于2018年09月26日，企业类型为个人独资企业，投资人：杨勇，统一社会信用代码：91522301MA6H8U826B，位于兴义市下午屯办坝佑村。加油站共设储油罐5个，其中50m3的柴油储罐2个，40m3的汽油储罐1个，30m3的汽油储罐2个，总储量150m3（柴油储量折半），根据《汽车加油加气加氢站技术标准》（GB50156-2021）加油站等级划分标准，为二级加油站。</w:t>
            </w:r>
          </w:p>
          <w:p>
            <w:pPr>
              <w:pStyle w:val="20"/>
              <w:bidi w:val="0"/>
              <w:ind w:firstLine="480" w:firstLineChars="200"/>
              <w:rPr>
                <w:rFonts w:hint="eastAsia"/>
                <w:lang w:eastAsia="zh-CN"/>
              </w:rPr>
            </w:pPr>
            <w:r>
              <w:rPr>
                <w:rFonts w:hint="eastAsia"/>
                <w:lang w:eastAsia="zh-CN"/>
              </w:rPr>
              <w:t>评价结论：兴义市四联加油站现状条件符合现行国家相关法律、法规的相关要求，符合《危险化学品经营许可证管理办法》规定的安全经营条件。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62985" cy="2529205"/>
                  <wp:effectExtent l="0" t="0" r="18415" b="4445"/>
                  <wp:docPr id="16" name="图片 1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检查 (1)"/>
                          <pic:cNvPicPr>
                            <a:picLocks noChangeAspect="1"/>
                          </pic:cNvPicPr>
                        </pic:nvPicPr>
                        <pic:blipFill>
                          <a:blip r:embed="rId14"/>
                          <a:stretch>
                            <a:fillRect/>
                          </a:stretch>
                        </pic:blipFill>
                        <pic:spPr>
                          <a:xfrm>
                            <a:off x="0" y="0"/>
                            <a:ext cx="3562985" cy="252920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495675" cy="2621915"/>
                  <wp:effectExtent l="0" t="0" r="9525" b="6985"/>
                  <wp:docPr id="17" name="图片 17"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检查 (5)"/>
                          <pic:cNvPicPr>
                            <a:picLocks noChangeAspect="1"/>
                          </pic:cNvPicPr>
                        </pic:nvPicPr>
                        <pic:blipFill>
                          <a:blip r:embed="rId15"/>
                          <a:stretch>
                            <a:fillRect/>
                          </a:stretch>
                        </pic:blipFill>
                        <pic:spPr>
                          <a:xfrm>
                            <a:off x="0" y="0"/>
                            <a:ext cx="3495675" cy="262191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35680" cy="2389505"/>
                  <wp:effectExtent l="0" t="0" r="7620" b="10795"/>
                  <wp:docPr id="18" name="图片 18"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检查 (4)"/>
                          <pic:cNvPicPr>
                            <a:picLocks noChangeAspect="1"/>
                          </pic:cNvPicPr>
                        </pic:nvPicPr>
                        <pic:blipFill>
                          <a:blip r:embed="rId16"/>
                          <a:stretch>
                            <a:fillRect/>
                          </a:stretch>
                        </pic:blipFill>
                        <pic:spPr>
                          <a:xfrm>
                            <a:off x="0" y="0"/>
                            <a:ext cx="3535680" cy="238950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威宁县龙场镇龙丰加油站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郦旭锋、杨尚达 2024.3.8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威宁县龙场镇龙丰加油站位于贵州省毕节市威宁彝族回族苗族自治县龙场镇龙丰村，经济类型为个人独资企业，法定代表人：王丹，加油站加油区设置四台单枪自吸式加油机，其中汽油加油机2台，柴油加油机2台，油罐区设置防渗罐池，罐池内设置30m³的92#埋地卧式单层汽油罐1个，50m³的92#埋地卧式单层汽油罐1个，50m³的0#埋地卧式单层柴油罐1个，总容积为105m³（柴油容积折半计入总容积），加油站等级为二级加油站。</w:t>
            </w:r>
          </w:p>
          <w:p>
            <w:pPr>
              <w:pStyle w:val="20"/>
              <w:bidi w:val="0"/>
              <w:ind w:firstLine="480" w:firstLineChars="200"/>
              <w:rPr>
                <w:rFonts w:hint="eastAsia"/>
                <w:lang w:eastAsia="zh-CN"/>
              </w:rPr>
            </w:pPr>
            <w:r>
              <w:rPr>
                <w:rFonts w:hint="eastAsia"/>
                <w:lang w:eastAsia="zh-CN"/>
              </w:rPr>
              <w:t>评价结论：威宁县龙场镇龙丰加油站现状条件符合现行国家相关法律、法规的相关要求，符合《危险化学品经营许可证管理办法》规定的安全经营条件。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29660" cy="2322830"/>
                  <wp:effectExtent l="0" t="0" r="8890" b="1270"/>
                  <wp:docPr id="25" name="图片 25" descr="检查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12)"/>
                          <pic:cNvPicPr>
                            <a:picLocks noChangeAspect="1"/>
                          </pic:cNvPicPr>
                        </pic:nvPicPr>
                        <pic:blipFill>
                          <a:blip r:embed="rId17"/>
                          <a:stretch>
                            <a:fillRect/>
                          </a:stretch>
                        </pic:blipFill>
                        <pic:spPr>
                          <a:xfrm>
                            <a:off x="0" y="0"/>
                            <a:ext cx="3629660" cy="23228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651250" cy="2262505"/>
                  <wp:effectExtent l="0" t="0" r="6350" b="4445"/>
                  <wp:docPr id="26" name="图片 26"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检查 (4)"/>
                          <pic:cNvPicPr>
                            <a:picLocks noChangeAspect="1"/>
                          </pic:cNvPicPr>
                        </pic:nvPicPr>
                        <pic:blipFill>
                          <a:blip r:embed="rId18"/>
                          <a:stretch>
                            <a:fillRect/>
                          </a:stretch>
                        </pic:blipFill>
                        <pic:spPr>
                          <a:xfrm>
                            <a:off x="0" y="0"/>
                            <a:ext cx="3651250" cy="226250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652520" cy="2548890"/>
                  <wp:effectExtent l="0" t="0" r="5080" b="3810"/>
                  <wp:docPr id="27" name="图片 27"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检查 (3)"/>
                          <pic:cNvPicPr>
                            <a:picLocks noChangeAspect="1"/>
                          </pic:cNvPicPr>
                        </pic:nvPicPr>
                        <pic:blipFill>
                          <a:blip r:embed="rId19"/>
                          <a:stretch>
                            <a:fillRect/>
                          </a:stretch>
                        </pic:blipFill>
                        <pic:spPr>
                          <a:xfrm>
                            <a:off x="0" y="0"/>
                            <a:ext cx="3652520" cy="254889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铜仁鑫强龙田能源加注有限责任公司</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郦旭锋、湛超 2024.6.9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铜仁鑫强龙田能源加注有限责任公司成立于2021年4月30日，同月取得《危险化学品经营许可证》，该公司经营的龙田加注站为车用新能源橇装式加注站，位于贵州省铜仁市碧江区灯塔街道龙田睿力大道。该橇装式加注站一体橇装设备共2套，正常使用靠公路侧橇装设备，靠近站房的橇装设备为闲置未使用状态。橇装设备系统设有储液罐、加注机及配套的设备、设施，该站建有漏液收集池、环保沟、隔油池、安全环保应急设施等。</w:t>
            </w:r>
          </w:p>
          <w:p>
            <w:pPr>
              <w:pStyle w:val="20"/>
              <w:bidi w:val="0"/>
              <w:ind w:firstLine="480" w:firstLineChars="200"/>
              <w:rPr>
                <w:rFonts w:hint="eastAsia"/>
                <w:lang w:eastAsia="zh-CN"/>
              </w:rPr>
            </w:pPr>
            <w:r>
              <w:rPr>
                <w:rFonts w:hint="eastAsia"/>
                <w:lang w:eastAsia="zh-CN"/>
              </w:rPr>
              <w:t>评价结论：铜仁鑫强龙田能源加注有限责任公司现状条件符合现行国家相关法律、法规及标准、规范的相关要求，符合安全运行条件。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32505" cy="2381885"/>
                  <wp:effectExtent l="0" t="0" r="10795" b="18415"/>
                  <wp:docPr id="13" name="图片 13"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检查 (6)"/>
                          <pic:cNvPicPr>
                            <a:picLocks noChangeAspect="1"/>
                          </pic:cNvPicPr>
                        </pic:nvPicPr>
                        <pic:blipFill>
                          <a:blip r:embed="rId20"/>
                          <a:stretch>
                            <a:fillRect/>
                          </a:stretch>
                        </pic:blipFill>
                        <pic:spPr>
                          <a:xfrm>
                            <a:off x="0" y="0"/>
                            <a:ext cx="3532505" cy="238188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37585" cy="2367280"/>
                  <wp:effectExtent l="0" t="0" r="5715" b="13970"/>
                  <wp:docPr id="14" name="图片 14"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检查 (3)"/>
                          <pic:cNvPicPr>
                            <a:picLocks noChangeAspect="1"/>
                          </pic:cNvPicPr>
                        </pic:nvPicPr>
                        <pic:blipFill>
                          <a:blip r:embed="rId21"/>
                          <a:stretch>
                            <a:fillRect/>
                          </a:stretch>
                        </pic:blipFill>
                        <pic:spPr>
                          <a:xfrm>
                            <a:off x="0" y="0"/>
                            <a:ext cx="3537585" cy="23672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66160" cy="2573655"/>
                  <wp:effectExtent l="0" t="0" r="15240" b="17145"/>
                  <wp:docPr id="15" name="图片 1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检查 (1)"/>
                          <pic:cNvPicPr>
                            <a:picLocks noChangeAspect="1"/>
                          </pic:cNvPicPr>
                        </pic:nvPicPr>
                        <pic:blipFill>
                          <a:blip r:embed="rId22"/>
                          <a:stretch>
                            <a:fillRect/>
                          </a:stretch>
                        </pic:blipFill>
                        <pic:spPr>
                          <a:xfrm>
                            <a:off x="0" y="0"/>
                            <a:ext cx="3566160" cy="257365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贵州省长顺县广顺农场林志加油站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许丹、杨兴 2024.6.12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贵州省长顺县广顺农场林志加油站位于贵州省黔南布依族苗族自治州长顺县广顺农场新庄，为普通合伙企业。该加油站经营汽油、柴油，设置30m³储油罐3个（其中92#汽油储罐1个，95#汽油储罐1个，0#柴油储罐1个），总储油量为75m³（柴油折半计算），为三级加油站，加油区设置4台加油机，其中汽油加油机2台，柴油加油机2台。</w:t>
            </w:r>
          </w:p>
          <w:p>
            <w:pPr>
              <w:pStyle w:val="20"/>
              <w:bidi w:val="0"/>
              <w:ind w:firstLine="480" w:firstLineChars="200"/>
              <w:rPr>
                <w:rFonts w:hint="eastAsia"/>
                <w:lang w:eastAsia="zh-CN"/>
              </w:rPr>
            </w:pPr>
            <w:r>
              <w:rPr>
                <w:rFonts w:hint="eastAsia"/>
                <w:lang w:eastAsia="zh-CN"/>
              </w:rPr>
              <w:t>评价结论：贵州省长顺县广顺农场林志加油站现状条件符合现行国家相关法律、法规的相关要求，符合《危险化学品经营许可证管理办法》规定的安全经营条件。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7735" cy="2379980"/>
                  <wp:effectExtent l="0" t="0" r="18415" b="1270"/>
                  <wp:docPr id="22" name="图片 22"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检查 (1)"/>
                          <pic:cNvPicPr>
                            <a:picLocks noChangeAspect="1"/>
                          </pic:cNvPicPr>
                        </pic:nvPicPr>
                        <pic:blipFill>
                          <a:blip r:embed="rId23"/>
                          <a:stretch>
                            <a:fillRect/>
                          </a:stretch>
                        </pic:blipFill>
                        <pic:spPr>
                          <a:xfrm>
                            <a:off x="0" y="0"/>
                            <a:ext cx="3467735" cy="23799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24885" cy="2328545"/>
                  <wp:effectExtent l="0" t="0" r="18415" b="14605"/>
                  <wp:docPr id="23" name="图片 23"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检查 (5)"/>
                          <pic:cNvPicPr>
                            <a:picLocks noChangeAspect="1"/>
                          </pic:cNvPicPr>
                        </pic:nvPicPr>
                        <pic:blipFill>
                          <a:blip r:embed="rId24"/>
                          <a:stretch>
                            <a:fillRect/>
                          </a:stretch>
                        </pic:blipFill>
                        <pic:spPr>
                          <a:xfrm>
                            <a:off x="0" y="0"/>
                            <a:ext cx="3524885" cy="232854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73780" cy="2416175"/>
                  <wp:effectExtent l="0" t="0" r="7620" b="3175"/>
                  <wp:docPr id="24" name="图片 24"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检查 (2)"/>
                          <pic:cNvPicPr>
                            <a:picLocks noChangeAspect="1"/>
                          </pic:cNvPicPr>
                        </pic:nvPicPr>
                        <pic:blipFill>
                          <a:blip r:embed="rId25"/>
                          <a:stretch>
                            <a:fillRect/>
                          </a:stretch>
                        </pic:blipFill>
                        <pic:spPr>
                          <a:xfrm>
                            <a:off x="0" y="0"/>
                            <a:ext cx="3573780" cy="241617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eastAsia="宋体"/>
                <w:lang w:val="en-US" w:eastAsia="zh-CN"/>
              </w:rPr>
            </w:pPr>
            <w:r>
              <w:rPr>
                <w:rFonts w:hint="eastAsia" w:ascii="宋体" w:hAnsi="宋体" w:eastAsia="宋体" w:cs="Times New Roman"/>
                <w:kern w:val="0"/>
                <w:sz w:val="24"/>
                <w:szCs w:val="20"/>
                <w:lang w:val="en-US" w:eastAsia="zh-CN" w:bidi="ar-SA"/>
              </w:rPr>
              <w:t>中国石化销售股份有限公司贵州黔南石油分公司都匀旗山大道加油站新建项目安全条件评价报告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郦旭锋、许丹 2024.2.1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危险化学品安全管理条例》及《危险化学品建设项目安全监督管理办法》（原国家安全生产监督管理总局令第45号)、《贵州省危险化学品建设项目安全监督管理实施细则》（原黔安监管三 〔2018〕3号）等国家法律、法规的有关要求，推进中国石化销售股份有限公司贵州黔南石油分公司都匀旗山大道加油站建设项目在设计上实现本质安全化，山东新安达工程咨询有限公司受中国石化销售股份有限公司贵州黔南石油分公司的委托，对中国石化销售股份有限公司贵州黔南石油分公司都匀旗山大道加油站新建项目进行安全条件评价。</w:t>
            </w:r>
          </w:p>
          <w:p>
            <w:pPr>
              <w:pStyle w:val="20"/>
              <w:bidi w:val="0"/>
              <w:ind w:firstLine="480" w:firstLineChars="200"/>
              <w:rPr>
                <w:rFonts w:hint="eastAsia"/>
                <w:lang w:eastAsia="zh-CN"/>
              </w:rPr>
            </w:pPr>
            <w:r>
              <w:rPr>
                <w:rFonts w:hint="eastAsia"/>
                <w:lang w:eastAsia="zh-CN"/>
              </w:rPr>
              <w:t>评价结论：中国石化销售股份有限公司贵州黔南石油分公司都匀旗山大道加油站新建项目采用的工艺成熟，技术安全可靠；项目选址和总体布局能符合国家有关法律、行政法规、部门规章和标准、规范的要求；具备相关法律法规的安全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22650" cy="2319020"/>
                  <wp:effectExtent l="0" t="0" r="6350" b="5080"/>
                  <wp:docPr id="19" name="图片 19"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检查 (6)"/>
                          <pic:cNvPicPr>
                            <a:picLocks noChangeAspect="1"/>
                          </pic:cNvPicPr>
                        </pic:nvPicPr>
                        <pic:blipFill>
                          <a:blip r:embed="rId26"/>
                          <a:stretch>
                            <a:fillRect/>
                          </a:stretch>
                        </pic:blipFill>
                        <pic:spPr>
                          <a:xfrm>
                            <a:off x="0" y="0"/>
                            <a:ext cx="3422650" cy="231902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438525" cy="2186940"/>
                  <wp:effectExtent l="0" t="0" r="9525" b="3810"/>
                  <wp:docPr id="20" name="图片 2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检查 (1)"/>
                          <pic:cNvPicPr>
                            <a:picLocks noChangeAspect="1"/>
                          </pic:cNvPicPr>
                        </pic:nvPicPr>
                        <pic:blipFill>
                          <a:blip r:embed="rId27"/>
                          <a:stretch>
                            <a:fillRect/>
                          </a:stretch>
                        </pic:blipFill>
                        <pic:spPr>
                          <a:xfrm>
                            <a:off x="0" y="0"/>
                            <a:ext cx="3438525" cy="218694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15995" cy="2355215"/>
                  <wp:effectExtent l="0" t="0" r="8255" b="6985"/>
                  <wp:docPr id="21" name="图片 21"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检查 (3)"/>
                          <pic:cNvPicPr>
                            <a:picLocks noChangeAspect="1"/>
                          </pic:cNvPicPr>
                        </pic:nvPicPr>
                        <pic:blipFill>
                          <a:blip r:embed="rId28"/>
                          <a:stretch>
                            <a:fillRect/>
                          </a:stretch>
                        </pic:blipFill>
                        <pic:spPr>
                          <a:xfrm>
                            <a:off x="0" y="0"/>
                            <a:ext cx="3515995" cy="235521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rPr>
          <w:rFonts w:hint="eastAsia" w:eastAsia="宋体"/>
          <w:lang w:val="en-US" w:eastAsia="zh-CN"/>
        </w:rPr>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贵州合鼎实业有限公司仓储转运中心加油站新建项目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杨尚达、郦旭锋  2023.6.11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危险化学品安全管理条例》及《危险化学品建设项目安全监督管理办法》（原国家安全生产监督管理总局令第45号发布，79号令修改)、《贵州省危险化学品建设项目安全监督管理实施细则》（原黔安监管三〔2018〕3号)等国家法律、法规的有关要求，推进贵州合鼎实业有限公司仓储转运中心加油站建设项目在设计上实现本质安全化，山东新安达工程咨询有限公司受贵州合鼎实业有限公司的委托，对贵州合鼎实业有限公司仓储转运中心加油站新建项目进行安全条件评价。</w:t>
            </w:r>
          </w:p>
          <w:p>
            <w:pPr>
              <w:pStyle w:val="20"/>
              <w:bidi w:val="0"/>
              <w:ind w:firstLine="480" w:firstLineChars="200"/>
              <w:rPr>
                <w:rFonts w:hint="eastAsia"/>
                <w:lang w:eastAsia="zh-CN"/>
              </w:rPr>
            </w:pPr>
            <w:r>
              <w:rPr>
                <w:rFonts w:hint="eastAsia"/>
                <w:lang w:eastAsia="zh-CN"/>
              </w:rPr>
              <w:t>评价结论：贵州合鼎实业有限公司仓储转运中心加油站新建项目采用的工艺成熟，技术安全可靠；项目选址和总体布局能符合国家有关法律、行政法规、部门规章和标准、规范的要求；安全条件符合相关法律法规标准的要求。</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34080" cy="2574925"/>
                  <wp:effectExtent l="0" t="0" r="13970" b="15875"/>
                  <wp:docPr id="28" name="图片 28"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检查 (3)"/>
                          <pic:cNvPicPr>
                            <a:picLocks noChangeAspect="1"/>
                          </pic:cNvPicPr>
                        </pic:nvPicPr>
                        <pic:blipFill>
                          <a:blip r:embed="rId29"/>
                          <a:stretch>
                            <a:fillRect/>
                          </a:stretch>
                        </pic:blipFill>
                        <pic:spPr>
                          <a:xfrm>
                            <a:off x="0" y="0"/>
                            <a:ext cx="3434080" cy="257492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409950" cy="2272030"/>
                  <wp:effectExtent l="0" t="0" r="0" b="13970"/>
                  <wp:docPr id="29" name="图片 29"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检查 (2)"/>
                          <pic:cNvPicPr>
                            <a:picLocks noChangeAspect="1"/>
                          </pic:cNvPicPr>
                        </pic:nvPicPr>
                        <pic:blipFill>
                          <a:blip r:embed="rId30"/>
                          <a:stretch>
                            <a:fillRect/>
                          </a:stretch>
                        </pic:blipFill>
                        <pic:spPr>
                          <a:xfrm>
                            <a:off x="0" y="0"/>
                            <a:ext cx="3409950" cy="22720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15360" cy="2398395"/>
                  <wp:effectExtent l="0" t="0" r="8890" b="1905"/>
                  <wp:docPr id="30" name="图片 3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检查 (1)"/>
                          <pic:cNvPicPr>
                            <a:picLocks noChangeAspect="1"/>
                          </pic:cNvPicPr>
                        </pic:nvPicPr>
                        <pic:blipFill>
                          <a:blip r:embed="rId31"/>
                          <a:stretch>
                            <a:fillRect/>
                          </a:stretch>
                        </pic:blipFill>
                        <pic:spPr>
                          <a:xfrm>
                            <a:off x="0" y="0"/>
                            <a:ext cx="3515360" cy="239839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盘州裔航加油站有限公司</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郦旭锋、许丹  2024.3.9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盘州裔航加油站有限公司位于贵州省六盘水市盘州市保田镇盘兴高速保田出口500米处，经济类型为有限责任公司（自然人投资或控股），法定代表人：陈林城，该加油站加油区设置6台双枪潜油泵加油机（其中汽油加油机4台，柴油加油机2台），油罐区位于加油区车行道下方，为承重结构，罐区设置4个SF双层埋地卧式储罐，（其中30m³的92#汽油储罐1个、30m³的95#汽油储罐1个、50m³的92#汽油储罐1个、50m³的0#柴油储罐1个，总容积为135m3（柴油容积折半计算），属于二级加油站。</w:t>
            </w:r>
          </w:p>
          <w:p>
            <w:pPr>
              <w:pStyle w:val="20"/>
              <w:bidi w:val="0"/>
              <w:ind w:firstLine="480" w:firstLineChars="200"/>
              <w:rPr>
                <w:rFonts w:hint="eastAsia"/>
                <w:lang w:eastAsia="zh-CN"/>
              </w:rPr>
            </w:pPr>
            <w:r>
              <w:rPr>
                <w:rFonts w:hint="eastAsia"/>
                <w:lang w:eastAsia="zh-CN"/>
              </w:rPr>
              <w:t>评价结论：盘州裔航加油站有限公司现状条件符合现行国家相关法律、法规的相关要求，符合《危险化学品经营许可证管理办法》规定的安全经营条件。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47745" cy="2138680"/>
                  <wp:effectExtent l="0" t="0" r="14605" b="13970"/>
                  <wp:docPr id="34" name="图片 3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检查 (1)"/>
                          <pic:cNvPicPr>
                            <a:picLocks noChangeAspect="1"/>
                          </pic:cNvPicPr>
                        </pic:nvPicPr>
                        <pic:blipFill>
                          <a:blip r:embed="rId32"/>
                          <a:stretch>
                            <a:fillRect/>
                          </a:stretch>
                        </pic:blipFill>
                        <pic:spPr>
                          <a:xfrm>
                            <a:off x="0" y="0"/>
                            <a:ext cx="3547745" cy="21386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36950" cy="2406015"/>
                  <wp:effectExtent l="0" t="0" r="6350" b="13335"/>
                  <wp:docPr id="35" name="图片 35"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检查 (6)"/>
                          <pic:cNvPicPr>
                            <a:picLocks noChangeAspect="1"/>
                          </pic:cNvPicPr>
                        </pic:nvPicPr>
                        <pic:blipFill>
                          <a:blip r:embed="rId33"/>
                          <a:stretch>
                            <a:fillRect/>
                          </a:stretch>
                        </pic:blipFill>
                        <pic:spPr>
                          <a:xfrm>
                            <a:off x="0" y="0"/>
                            <a:ext cx="3536950" cy="240601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489325" cy="2512695"/>
                  <wp:effectExtent l="0" t="0" r="15875" b="1905"/>
                  <wp:docPr id="36" name="图片 36"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检查 (3)"/>
                          <pic:cNvPicPr>
                            <a:picLocks noChangeAspect="1"/>
                          </pic:cNvPicPr>
                        </pic:nvPicPr>
                        <pic:blipFill>
                          <a:blip r:embed="rId34"/>
                          <a:stretch>
                            <a:fillRect/>
                          </a:stretch>
                        </pic:blipFill>
                        <pic:spPr>
                          <a:xfrm>
                            <a:off x="0" y="0"/>
                            <a:ext cx="3489325" cy="251269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rPr>
          <w:rFonts w:hint="eastAsia" w:eastAsia="宋体"/>
          <w:lang w:val="en-US" w:eastAsia="zh-CN"/>
        </w:rPr>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兴仁市路通达商贸有限公司</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pPr>
            <w:r>
              <w:t>姓名</w:t>
            </w:r>
          </w:p>
        </w:tc>
        <w:tc>
          <w:tcPr>
            <w:tcW w:w="3981"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郦旭锋</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杨兴</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70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 、郦旭锋 2024.6.2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兴仁市路通达商贸有限公司成立于2020年11月11日，企业类型为有限责任公司（自然人投资或控股），法定代表人：陆发定，统一社会信用代码：91522322MAAK3J5F6B，位于贵州省黔西南州兴仁市屯脚镇场坝居委会场坝村。加油站共设储油罐4个，其中50m3的柴油储罐1个，50m3的汽油储罐1个，30m3的汽油储罐2个，总储量135m3（柴油储量折半），根据《汽车加油加气加氢站技术标准》（GB50156-2021）加油站等级划分标准，为二级加油站。</w:t>
            </w:r>
          </w:p>
          <w:p>
            <w:pPr>
              <w:pStyle w:val="20"/>
              <w:bidi w:val="0"/>
              <w:ind w:firstLine="480" w:firstLineChars="200"/>
              <w:rPr>
                <w:rFonts w:hint="eastAsia"/>
                <w:lang w:eastAsia="zh-CN"/>
              </w:rPr>
            </w:pPr>
            <w:r>
              <w:rPr>
                <w:rFonts w:hint="eastAsia"/>
                <w:lang w:eastAsia="zh-CN"/>
              </w:rPr>
              <w:t>评价结论：兴仁市路通达商贸有限公司现状条件符合现行国家相关法律、法规的相关要求，符合《危险化学品经营许可证管理办法》规定的安全经营条件。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458"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69335" cy="2334260"/>
                  <wp:effectExtent l="0" t="0" r="12065" b="8890"/>
                  <wp:docPr id="40" name="图片 40"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检查 (6)"/>
                          <pic:cNvPicPr>
                            <a:picLocks noChangeAspect="1"/>
                          </pic:cNvPicPr>
                        </pic:nvPicPr>
                        <pic:blipFill>
                          <a:blip r:embed="rId35"/>
                          <a:stretch>
                            <a:fillRect/>
                          </a:stretch>
                        </pic:blipFill>
                        <pic:spPr>
                          <a:xfrm>
                            <a:off x="0" y="0"/>
                            <a:ext cx="3569335" cy="233426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448685" cy="2111375"/>
                  <wp:effectExtent l="0" t="0" r="18415" b="3175"/>
                  <wp:docPr id="41" name="图片 41"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检查 (4)"/>
                          <pic:cNvPicPr>
                            <a:picLocks noChangeAspect="1"/>
                          </pic:cNvPicPr>
                        </pic:nvPicPr>
                        <pic:blipFill>
                          <a:blip r:embed="rId36"/>
                          <a:stretch>
                            <a:fillRect/>
                          </a:stretch>
                        </pic:blipFill>
                        <pic:spPr>
                          <a:xfrm>
                            <a:off x="0" y="0"/>
                            <a:ext cx="3448685" cy="211137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467735" cy="2340610"/>
                  <wp:effectExtent l="0" t="0" r="18415" b="2540"/>
                  <wp:docPr id="42" name="图片 42"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检查 (1)"/>
                          <pic:cNvPicPr>
                            <a:picLocks noChangeAspect="1"/>
                          </pic:cNvPicPr>
                        </pic:nvPicPr>
                        <pic:blipFill>
                          <a:blip r:embed="rId37"/>
                          <a:stretch>
                            <a:fillRect/>
                          </a:stretch>
                        </pic:blipFill>
                        <pic:spPr>
                          <a:xfrm>
                            <a:off x="0" y="0"/>
                            <a:ext cx="3467735" cy="234061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rPr>
          <w:rFonts w:hint="eastAsia" w:eastAsia="宋体"/>
          <w:lang w:val="en-US" w:eastAsia="zh-CN"/>
        </w:rPr>
      </w:pPr>
    </w:p>
    <w:p>
      <w:pPr>
        <w:pStyle w:val="2"/>
        <w:jc w:val="both"/>
        <w:rPr>
          <w:rFonts w:hint="eastAsia" w:eastAsia="宋体"/>
          <w:lang w:val="en-US" w:eastAsia="zh-CN"/>
        </w:rPr>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zZDM1ZmJiMDFhOGI2ZDhiOGRlMWVjNDU0MDc0YTgifQ=="/>
  </w:docVars>
  <w:rsids>
    <w:rsidRoot w:val="00E3751A"/>
    <w:rsid w:val="00047227"/>
    <w:rsid w:val="00303C12"/>
    <w:rsid w:val="004D1AF7"/>
    <w:rsid w:val="00756850"/>
    <w:rsid w:val="00C75118"/>
    <w:rsid w:val="00C82162"/>
    <w:rsid w:val="00E3751A"/>
    <w:rsid w:val="01381A2C"/>
    <w:rsid w:val="0153731B"/>
    <w:rsid w:val="01657072"/>
    <w:rsid w:val="067C6F0E"/>
    <w:rsid w:val="06AF67EC"/>
    <w:rsid w:val="06EF6353"/>
    <w:rsid w:val="07D32EB9"/>
    <w:rsid w:val="080D0C1C"/>
    <w:rsid w:val="086E6C35"/>
    <w:rsid w:val="0971665B"/>
    <w:rsid w:val="0A3600A6"/>
    <w:rsid w:val="0CC429F9"/>
    <w:rsid w:val="0D613CF2"/>
    <w:rsid w:val="0DF36C19"/>
    <w:rsid w:val="0E53337E"/>
    <w:rsid w:val="0F78192E"/>
    <w:rsid w:val="145C663E"/>
    <w:rsid w:val="15993777"/>
    <w:rsid w:val="17810296"/>
    <w:rsid w:val="17C601C4"/>
    <w:rsid w:val="18255C0B"/>
    <w:rsid w:val="188D103C"/>
    <w:rsid w:val="18CA2EBE"/>
    <w:rsid w:val="19702E1E"/>
    <w:rsid w:val="1B5944E3"/>
    <w:rsid w:val="1B7B2F28"/>
    <w:rsid w:val="1B9F4DB7"/>
    <w:rsid w:val="1CD17A8D"/>
    <w:rsid w:val="1DC009D9"/>
    <w:rsid w:val="1E4950BB"/>
    <w:rsid w:val="20FA7494"/>
    <w:rsid w:val="21161F9D"/>
    <w:rsid w:val="23356346"/>
    <w:rsid w:val="237C721D"/>
    <w:rsid w:val="25161A51"/>
    <w:rsid w:val="2583798D"/>
    <w:rsid w:val="25AB5CCE"/>
    <w:rsid w:val="270818BC"/>
    <w:rsid w:val="276E1EEA"/>
    <w:rsid w:val="28843CDA"/>
    <w:rsid w:val="29925FE1"/>
    <w:rsid w:val="29F53ECF"/>
    <w:rsid w:val="2AE47987"/>
    <w:rsid w:val="2AE81386"/>
    <w:rsid w:val="2B577D1D"/>
    <w:rsid w:val="2CEC5B86"/>
    <w:rsid w:val="2D0A3392"/>
    <w:rsid w:val="2DBA3B8A"/>
    <w:rsid w:val="2E046C06"/>
    <w:rsid w:val="2E2E1BF1"/>
    <w:rsid w:val="2E52714C"/>
    <w:rsid w:val="2FE4338B"/>
    <w:rsid w:val="304B4F05"/>
    <w:rsid w:val="31722F92"/>
    <w:rsid w:val="32CC6EE2"/>
    <w:rsid w:val="33422C3A"/>
    <w:rsid w:val="372972D4"/>
    <w:rsid w:val="379647FB"/>
    <w:rsid w:val="385C2AEB"/>
    <w:rsid w:val="391657EE"/>
    <w:rsid w:val="39905747"/>
    <w:rsid w:val="3A002F75"/>
    <w:rsid w:val="3A7474D8"/>
    <w:rsid w:val="3C7D28D5"/>
    <w:rsid w:val="3D3B399E"/>
    <w:rsid w:val="3DEA3C38"/>
    <w:rsid w:val="3EE84724"/>
    <w:rsid w:val="41912F5E"/>
    <w:rsid w:val="42AB0C22"/>
    <w:rsid w:val="42C53343"/>
    <w:rsid w:val="43C0308C"/>
    <w:rsid w:val="44666E13"/>
    <w:rsid w:val="44890DCE"/>
    <w:rsid w:val="46E224AF"/>
    <w:rsid w:val="48EC5AF0"/>
    <w:rsid w:val="48FD1AAC"/>
    <w:rsid w:val="4A437403"/>
    <w:rsid w:val="4B686EC6"/>
    <w:rsid w:val="4C4675A4"/>
    <w:rsid w:val="4C6E107B"/>
    <w:rsid w:val="4DB306BD"/>
    <w:rsid w:val="4E0D6A1F"/>
    <w:rsid w:val="4E274960"/>
    <w:rsid w:val="4E3D5914"/>
    <w:rsid w:val="4EAA5EAB"/>
    <w:rsid w:val="4F0D5917"/>
    <w:rsid w:val="4F60078E"/>
    <w:rsid w:val="4FE84280"/>
    <w:rsid w:val="512C352F"/>
    <w:rsid w:val="52C4230E"/>
    <w:rsid w:val="52E07D49"/>
    <w:rsid w:val="53F37C81"/>
    <w:rsid w:val="54345BD2"/>
    <w:rsid w:val="55397BB0"/>
    <w:rsid w:val="55696422"/>
    <w:rsid w:val="56D3239C"/>
    <w:rsid w:val="57800B40"/>
    <w:rsid w:val="5A2F4644"/>
    <w:rsid w:val="5A435025"/>
    <w:rsid w:val="5BF832F3"/>
    <w:rsid w:val="60B460AF"/>
    <w:rsid w:val="60C84554"/>
    <w:rsid w:val="61513A75"/>
    <w:rsid w:val="62E97B34"/>
    <w:rsid w:val="64652DDC"/>
    <w:rsid w:val="658063A7"/>
    <w:rsid w:val="6632513F"/>
    <w:rsid w:val="66C53C4A"/>
    <w:rsid w:val="67600A2D"/>
    <w:rsid w:val="67D14539"/>
    <w:rsid w:val="67D23BAA"/>
    <w:rsid w:val="6AA57F27"/>
    <w:rsid w:val="6BD4664B"/>
    <w:rsid w:val="6CB1098B"/>
    <w:rsid w:val="6CBF703A"/>
    <w:rsid w:val="6D1139EB"/>
    <w:rsid w:val="6EF4064C"/>
    <w:rsid w:val="6F270A25"/>
    <w:rsid w:val="6F3D1DEF"/>
    <w:rsid w:val="6F67290E"/>
    <w:rsid w:val="6FE23626"/>
    <w:rsid w:val="6FFF314A"/>
    <w:rsid w:val="71763652"/>
    <w:rsid w:val="73001856"/>
    <w:rsid w:val="737D1DEA"/>
    <w:rsid w:val="73AA2228"/>
    <w:rsid w:val="75816D2C"/>
    <w:rsid w:val="766C59F7"/>
    <w:rsid w:val="76E25EB6"/>
    <w:rsid w:val="77832F9B"/>
    <w:rsid w:val="77F93538"/>
    <w:rsid w:val="78644E98"/>
    <w:rsid w:val="79302291"/>
    <w:rsid w:val="7AD10B53"/>
    <w:rsid w:val="7B914393"/>
    <w:rsid w:val="7C271C8F"/>
    <w:rsid w:val="7C304A31"/>
    <w:rsid w:val="7D1412C2"/>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4">
    <w:name w:val="heading 2"/>
    <w:basedOn w:val="1"/>
    <w:next w:val="1"/>
    <w:link w:val="21"/>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99"/>
    <w:rPr>
      <w:sz w:val="28"/>
      <w:szCs w:val="28"/>
    </w:rPr>
  </w:style>
  <w:style w:type="paragraph" w:styleId="5">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next w:val="7"/>
    <w:autoRedefine/>
    <w:unhideWhenUsed/>
    <w:qFormat/>
    <w:uiPriority w:val="99"/>
    <w:pPr>
      <w:spacing w:after="120"/>
      <w:ind w:left="420" w:leftChars="200"/>
    </w:pPr>
  </w:style>
  <w:style w:type="paragraph" w:styleId="7">
    <w:name w:val="toc 3"/>
    <w:basedOn w:val="1"/>
    <w:next w:val="1"/>
    <w:autoRedefine/>
    <w:qFormat/>
    <w:uiPriority w:val="0"/>
    <w:pPr>
      <w:ind w:left="420"/>
      <w:jc w:val="left"/>
    </w:pPr>
    <w:rPr>
      <w:i/>
      <w:iCs/>
      <w:sz w:val="20"/>
      <w:szCs w:val="20"/>
    </w:rPr>
  </w:style>
  <w:style w:type="paragraph" w:styleId="8">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List Bullet 5"/>
    <w:basedOn w:val="1"/>
    <w:autoRedefine/>
    <w:qFormat/>
    <w:uiPriority w:val="0"/>
    <w:pPr>
      <w:numPr>
        <w:ilvl w:val="0"/>
        <w:numId w:val="1"/>
      </w:numPr>
    </w:pPr>
  </w:style>
  <w:style w:type="paragraph" w:styleId="10">
    <w:name w:val="Balloon Text"/>
    <w:basedOn w:val="1"/>
    <w:link w:val="27"/>
    <w:autoRedefine/>
    <w:qFormat/>
    <w:uiPriority w:val="0"/>
    <w:rPr>
      <w:sz w:val="18"/>
      <w:szCs w:val="18"/>
    </w:rPr>
  </w:style>
  <w:style w:type="paragraph" w:styleId="11">
    <w:name w:val="footer"/>
    <w:basedOn w:val="1"/>
    <w:next w:val="12"/>
    <w:autoRedefine/>
    <w:qFormat/>
    <w:uiPriority w:val="99"/>
    <w:pPr>
      <w:tabs>
        <w:tab w:val="center" w:pos="4153"/>
        <w:tab w:val="right" w:pos="8306"/>
      </w:tabs>
      <w:snapToGrid w:val="0"/>
    </w:pPr>
    <w:rPr>
      <w:sz w:val="18"/>
      <w:szCs w:val="18"/>
    </w:rPr>
  </w:style>
  <w:style w:type="paragraph" w:styleId="12">
    <w:name w:val="Normal (Web)"/>
    <w:basedOn w:val="1"/>
    <w:next w:val="13"/>
    <w:autoRedefine/>
    <w:qFormat/>
    <w:uiPriority w:val="0"/>
    <w:pPr>
      <w:spacing w:before="100" w:beforeAutospacing="1" w:after="100" w:afterAutospacing="1"/>
      <w:jc w:val="left"/>
    </w:pPr>
    <w:rPr>
      <w:kern w:val="0"/>
      <w:sz w:val="24"/>
    </w:rPr>
  </w:style>
  <w:style w:type="paragraph" w:customStyle="1" w:styleId="13">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autoRedefine/>
    <w:qFormat/>
    <w:uiPriority w:val="0"/>
    <w:pPr>
      <w:spacing w:after="120"/>
      <w:ind w:firstLine="420" w:firstLineChars="100"/>
    </w:pPr>
  </w:style>
  <w:style w:type="paragraph" w:styleId="16">
    <w:name w:val="Body Text First Indent 2"/>
    <w:basedOn w:val="6"/>
    <w:next w:val="1"/>
    <w:autoRedefine/>
    <w:unhideWhenUsed/>
    <w:qFormat/>
    <w:uiPriority w:val="99"/>
    <w:pPr>
      <w:ind w:firstLine="420" w:firstLineChars="200"/>
    </w:pPr>
  </w:style>
  <w:style w:type="character" w:styleId="19">
    <w:name w:val="annotation reference"/>
    <w:basedOn w:val="18"/>
    <w:autoRedefine/>
    <w:qFormat/>
    <w:uiPriority w:val="0"/>
    <w:rPr>
      <w:sz w:val="21"/>
      <w:szCs w:val="21"/>
    </w:rPr>
  </w:style>
  <w:style w:type="paragraph" w:customStyle="1" w:styleId="20">
    <w:name w:val="表格"/>
    <w:basedOn w:val="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character" w:customStyle="1" w:styleId="21">
    <w:name w:val="标题 2 Char"/>
    <w:link w:val="4"/>
    <w:autoRedefine/>
    <w:qFormat/>
    <w:uiPriority w:val="0"/>
    <w:rPr>
      <w:rFonts w:eastAsia="楷体_GB2312" w:cs="MS Gothic"/>
      <w:b/>
      <w:snapToGrid w:val="0"/>
      <w:kern w:val="0"/>
      <w:sz w:val="32"/>
      <w:szCs w:val="28"/>
    </w:rPr>
  </w:style>
  <w:style w:type="paragraph" w:customStyle="1" w:styleId="22">
    <w:name w:val="Default"/>
    <w:basedOn w:val="23"/>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3">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4">
    <w:name w:val="样式 标题 2"/>
    <w:basedOn w:val="4"/>
    <w:autoRedefine/>
    <w:qFormat/>
    <w:uiPriority w:val="0"/>
    <w:pPr>
      <w:spacing w:beforeLines="0" w:afterLines="0"/>
    </w:pPr>
    <w:rPr>
      <w:rFonts w:ascii="Arial" w:hAnsi="Arial" w:eastAsia="宋体" w:cs="宋体"/>
      <w:snapToGrid/>
      <w:kern w:val="2"/>
      <w:szCs w:val="32"/>
      <w:lang w:val="zh-CN"/>
    </w:rPr>
  </w:style>
  <w:style w:type="paragraph" w:customStyle="1" w:styleId="2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autoRedefine/>
    <w:qFormat/>
    <w:uiPriority w:val="0"/>
    <w:pPr>
      <w:widowControl/>
    </w:pPr>
    <w:rPr>
      <w:kern w:val="0"/>
      <w:szCs w:val="21"/>
    </w:rPr>
  </w:style>
  <w:style w:type="character" w:customStyle="1" w:styleId="27">
    <w:name w:val="批注框文本 Char"/>
    <w:basedOn w:val="18"/>
    <w:link w:val="10"/>
    <w:autoRedefine/>
    <w:qFormat/>
    <w:uiPriority w:val="0"/>
    <w:rPr>
      <w:rFonts w:ascii="Calibri" w:hAnsi="Calibri"/>
      <w:kern w:val="2"/>
      <w:sz w:val="18"/>
      <w:szCs w:val="18"/>
    </w:rPr>
  </w:style>
  <w:style w:type="paragraph" w:customStyle="1" w:styleId="28">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22</Pages>
  <Words>4858</Words>
  <Characters>7159</Characters>
  <Lines>7</Lines>
  <Paragraphs>2</Paragraphs>
  <TotalTime>3</TotalTime>
  <ScaleCrop>false</ScaleCrop>
  <LinksUpToDate>false</LinksUpToDate>
  <CharactersWithSpaces>7185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2024-07-05T07:17:22Z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3D417A7DA0144CEDA15801581E78EFE2</vt:lpwstr>
  </property>
</Properties>
</file>