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pPr>
        <w:rPr>
          <w:rFonts w:hint="eastAsia"/>
          <w:sz w:val="21"/>
          <w:szCs w:val="21"/>
          <w:lang w:val="en-US" w:eastAsia="zh-CN"/>
        </w:rPr>
      </w:pPr>
      <w:r>
        <w:rPr>
          <w:rFonts w:hint="eastAsia"/>
          <w:sz w:val="21"/>
          <w:szCs w:val="21"/>
          <w:lang w:val="en-US" w:eastAsia="zh-CN"/>
        </w:rPr>
        <w:t>项目编号：</w:t>
      </w:r>
    </w:p>
    <w:tbl>
      <w:tblPr>
        <w:tblStyle w:val="1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中国石化山东泰山石油股份有限公司泰安油库柴改汽项目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pPr>
              <w:adjustRightInd w:val="0"/>
              <w:snapToGrid w:val="0"/>
              <w:spacing w:line="240" w:lineRule="auto"/>
              <w:rPr>
                <w:rFonts w:hint="eastAsia" w:ascii="宋体" w:hAnsi="宋体" w:eastAsia="宋体" w:cs="宋体"/>
                <w:b w:val="0"/>
                <w:bCs w:val="0"/>
                <w:color w:val="auto"/>
                <w:kern w:val="0"/>
                <w:sz w:val="21"/>
                <w:szCs w:val="21"/>
                <w:highlight w:val="none"/>
              </w:rPr>
            </w:pPr>
            <w:r>
              <w:rPr>
                <w:rFonts w:hint="eastAsia" w:ascii="宋体" w:hAnsi="宋体"/>
                <w:sz w:val="20"/>
                <w:szCs w:val="24"/>
                <w:lang w:val="en-US" w:eastAsia="zh-CN"/>
              </w:rPr>
              <w:t>建设内容：将1台5000m</w:t>
            </w:r>
            <w:r>
              <w:rPr>
                <w:rFonts w:hint="eastAsia" w:ascii="宋体" w:hAnsi="宋体"/>
                <w:sz w:val="20"/>
                <w:szCs w:val="24"/>
                <w:vertAlign w:val="superscript"/>
                <w:lang w:val="en-US" w:eastAsia="zh-CN"/>
              </w:rPr>
              <w:t>3</w:t>
            </w:r>
            <w:r>
              <w:rPr>
                <w:rFonts w:hint="eastAsia" w:ascii="宋体" w:hAnsi="宋体"/>
                <w:sz w:val="20"/>
                <w:szCs w:val="24"/>
                <w:lang w:val="en-US" w:eastAsia="zh-CN"/>
              </w:rPr>
              <w:t>拱顶罐（G-202-050）和1台3000m</w:t>
            </w:r>
            <w:r>
              <w:rPr>
                <w:rFonts w:hint="eastAsia" w:ascii="宋体" w:hAnsi="宋体"/>
                <w:sz w:val="20"/>
                <w:szCs w:val="24"/>
                <w:vertAlign w:val="superscript"/>
                <w:lang w:val="en-US" w:eastAsia="zh-CN"/>
              </w:rPr>
              <w:t>3</w:t>
            </w:r>
            <w:r>
              <w:rPr>
                <w:rFonts w:hint="eastAsia" w:ascii="宋体" w:hAnsi="宋体"/>
                <w:sz w:val="20"/>
                <w:szCs w:val="24"/>
                <w:lang w:val="en-US" w:eastAsia="zh-CN"/>
              </w:rPr>
              <w:t>拱顶罐（G-201-030）改为内浮顶罐，储存油品由柴油改为汽油，拟将储罐前二道电动平板闸阀更换为电动DBB阀，拟将汽油收、发、倒罐管道延长至罐前金属软管与电动阀改动位置，原有柴油管道在法兰处设置法兰盖封堵，拟上6台可燃气体探测器，拟将原有横式泡沫产生器拆除并更换为PCL16型立式泡沫产生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郝大平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2024.2.26</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 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2024.3.14</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2024.3.15</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安全评价报告提交时间：2024.4.18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中国石化山东泰山石油股份有限公司泰安油库柴改汽项目现场照片</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default"/>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lang w:val="en-US" w:eastAsia="zh-CN"/>
        </w:rPr>
        <w:drawing>
          <wp:inline distT="0" distB="0" distL="114300" distR="114300">
            <wp:extent cx="5759450" cy="4319270"/>
            <wp:effectExtent l="0" t="0" r="12700" b="5080"/>
            <wp:docPr id="5" name="图片 5" descr="检察人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检察人员"/>
                    <pic:cNvPicPr>
                      <a:picLocks noChangeAspect="1"/>
                    </pic:cNvPicPr>
                  </pic:nvPicPr>
                  <pic:blipFill>
                    <a:blip r:embed="rId4"/>
                    <a:stretch>
                      <a:fillRect/>
                    </a:stretch>
                  </pic:blipFill>
                  <pic:spPr>
                    <a:xfrm>
                      <a:off x="0" y="0"/>
                      <a:ext cx="5759450" cy="4319270"/>
                    </a:xfrm>
                    <a:prstGeom prst="rect">
                      <a:avLst/>
                    </a:prstGeom>
                  </pic:spPr>
                </pic:pic>
              </a:graphicData>
            </a:graphic>
          </wp:inline>
        </w:drawing>
      </w:r>
      <w:r>
        <w:rPr>
          <w:rFonts w:hint="default"/>
          <w:lang w:val="en-US" w:eastAsia="zh-CN"/>
        </w:rPr>
        <w:drawing>
          <wp:inline distT="0" distB="0" distL="114300" distR="114300">
            <wp:extent cx="5759450" cy="4319270"/>
            <wp:effectExtent l="0" t="0" r="12700" b="5080"/>
            <wp:docPr id="6" name="图片 6" descr="办公区域入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办公区域入口"/>
                    <pic:cNvPicPr>
                      <a:picLocks noChangeAspect="1"/>
                    </pic:cNvPicPr>
                  </pic:nvPicPr>
                  <pic:blipFill>
                    <a:blip r:embed="rId5"/>
                    <a:stretch>
                      <a:fillRect/>
                    </a:stretch>
                  </pic:blipFill>
                  <pic:spPr>
                    <a:xfrm>
                      <a:off x="0" y="0"/>
                      <a:ext cx="5759450" cy="4319270"/>
                    </a:xfrm>
                    <a:prstGeom prst="rect">
                      <a:avLst/>
                    </a:prstGeom>
                  </pic:spPr>
                </pic:pic>
              </a:graphicData>
            </a:graphic>
          </wp:inline>
        </w:drawing>
      </w:r>
    </w:p>
    <w:p>
      <w:pPr>
        <w:pStyle w:val="4"/>
        <w:adjustRightInd w:val="0"/>
        <w:snapToGrid w:val="0"/>
        <w:spacing w:before="0" w:after="0" w:line="360" w:lineRule="auto"/>
        <w:jc w:val="center"/>
        <w:rPr>
          <w:rFonts w:hint="eastAsia" w:ascii="楷体_GB2312" w:eastAsia="楷体_GB2312"/>
          <w:color w:val="000000"/>
        </w:rPr>
      </w:pPr>
      <w:bookmarkStart w:id="0" w:name="_Toc19173"/>
      <w:r>
        <w:rPr>
          <w:rFonts w:hint="eastAsia" w:ascii="楷体_GB2312" w:eastAsia="楷体_GB2312"/>
          <w:color w:val="000000"/>
        </w:rPr>
        <w:t>2.2建设项目概况</w:t>
      </w:r>
      <w:bookmarkEnd w:id="0"/>
      <w:r>
        <w:rPr>
          <w:rFonts w:hint="eastAsia" w:ascii="楷体_GB2312" w:eastAsia="楷体_GB2312"/>
          <w:color w:val="000000"/>
        </w:rPr>
        <w:t xml:space="preserve"> </w:t>
      </w:r>
    </w:p>
    <w:p>
      <w:pPr>
        <w:adjustRightInd w:val="0"/>
        <w:snapToGrid w:val="0"/>
        <w:spacing w:line="360" w:lineRule="auto"/>
        <w:ind w:firstLine="586" w:firstLineChars="200"/>
        <w:rPr>
          <w:rFonts w:hint="eastAsia" w:ascii="黑体" w:hAnsi="宋体" w:eastAsia="黑体"/>
          <w:b/>
          <w:bCs/>
          <w:color w:val="000000"/>
          <w:spacing w:val="6"/>
          <w:sz w:val="28"/>
          <w:szCs w:val="28"/>
          <w:lang w:val="en-US" w:eastAsia="zh-CN"/>
        </w:rPr>
      </w:pPr>
      <w:r>
        <w:rPr>
          <w:rFonts w:hint="eastAsia" w:ascii="黑体" w:hAnsi="宋体" w:eastAsia="黑体"/>
          <w:b/>
          <w:bCs/>
          <w:color w:val="000000"/>
          <w:spacing w:val="6"/>
          <w:sz w:val="28"/>
          <w:szCs w:val="28"/>
          <w:lang w:val="en-US" w:eastAsia="zh-CN"/>
        </w:rPr>
        <w:t>2.2.1建设项目简介</w:t>
      </w:r>
    </w:p>
    <w:p>
      <w:pPr>
        <w:adjustRightInd w:val="0"/>
        <w:snapToGrid w:val="0"/>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油库于2018年1月17日取得泰安市国土资源局颁发的《不动产权证书》，编号：鲁（2018）泰安市不动产权第0001497号，使用权面积133011 m²；该拟建项目于2024年3月4日取得《山东省建设项目备案证明》，项目代码：2403-370911-07-02-728739</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lang w:val="en-US" w:eastAsia="zh-CN"/>
        </w:rPr>
        <w:t>建设内容为“项目投资用于储罐油品调整及拱顶罐改内浮顶罐，相关产品工艺流程：将两座柴油罐改为汽油罐，将三座汽油罐汽油油品调整”，该项目涉及的两座柴油罐改为汽油罐包含在备案中</w:t>
      </w:r>
      <w:r>
        <w:rPr>
          <w:rFonts w:hint="eastAsia" w:ascii="宋体" w:hAnsi="宋体" w:eastAsia="宋体" w:cs="Times New Roman"/>
          <w:color w:val="000000"/>
          <w:sz w:val="28"/>
          <w:szCs w:val="28"/>
        </w:rPr>
        <w:t>；</w:t>
      </w:r>
      <w:r>
        <w:rPr>
          <w:rFonts w:hint="eastAsia" w:ascii="宋体" w:hAnsi="宋体" w:eastAsia="宋体" w:cs="Times New Roman"/>
          <w:color w:val="000000"/>
          <w:sz w:val="28"/>
          <w:szCs w:val="28"/>
          <w:lang w:val="en-US" w:eastAsia="zh-CN"/>
        </w:rPr>
        <w:t>2024年4月15日，中国石化山东泰山石油股份有限公司出具了该项目利旧油罐检测的承诺，承诺内容为“清罐后对两座柴油罐进行全面检测，如果油罐检测不合格，将不会直接利旧油罐储存油品。修复油罐直到检测合格，才会安排后续施工”；</w:t>
      </w:r>
      <w:r>
        <w:rPr>
          <w:rFonts w:hint="eastAsia" w:ascii="宋体" w:hAnsi="宋体" w:eastAsia="宋体" w:cs="Times New Roman"/>
          <w:color w:val="000000"/>
          <w:sz w:val="28"/>
          <w:szCs w:val="28"/>
        </w:rPr>
        <w:t>天津中德工程设计有限公司编制了《中国石化山东泰山石油股份有限公司泰安油库柴改汽项目设计方案》计划对油库进行改造。</w:t>
      </w:r>
    </w:p>
    <w:p>
      <w:pPr>
        <w:adjustRightInd w:val="0"/>
        <w:snapToGrid w:val="0"/>
        <w:spacing w:line="360" w:lineRule="auto"/>
        <w:ind w:firstLine="560" w:firstLineChars="200"/>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项目情况如下：</w:t>
      </w:r>
    </w:p>
    <w:p>
      <w:pPr>
        <w:numPr>
          <w:ilvl w:val="0"/>
          <w:numId w:val="0"/>
        </w:numPr>
        <w:adjustRightInd w:val="0"/>
        <w:snapToGrid w:val="0"/>
        <w:spacing w:line="360" w:lineRule="auto"/>
        <w:ind w:firstLine="560" w:firstLineChars="200"/>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项目名称：中国石化山东泰山石油股份有限公司泰安油库柴改汽项目</w:t>
      </w:r>
    </w:p>
    <w:p>
      <w:pPr>
        <w:numPr>
          <w:ilvl w:val="0"/>
          <w:numId w:val="0"/>
        </w:numPr>
        <w:adjustRightInd w:val="0"/>
        <w:snapToGrid w:val="0"/>
        <w:spacing w:line="360" w:lineRule="auto"/>
        <w:ind w:firstLine="560" w:firstLineChars="200"/>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建设单位：中国石化山东泰山石油股份有限公司</w:t>
      </w:r>
    </w:p>
    <w:p>
      <w:pPr>
        <w:numPr>
          <w:ilvl w:val="0"/>
          <w:numId w:val="0"/>
        </w:numPr>
        <w:adjustRightInd w:val="0"/>
        <w:snapToGrid w:val="0"/>
        <w:spacing w:line="360" w:lineRule="auto"/>
        <w:ind w:firstLine="560" w:firstLineChars="200"/>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项目所处地理位置：油库位于泰安市岱岳区道朗镇西小玄村南</w:t>
      </w:r>
    </w:p>
    <w:p>
      <w:pPr>
        <w:numPr>
          <w:ilvl w:val="0"/>
          <w:numId w:val="0"/>
        </w:numPr>
        <w:adjustRightInd w:val="0"/>
        <w:snapToGrid w:val="0"/>
        <w:spacing w:line="360" w:lineRule="auto"/>
        <w:ind w:firstLine="560" w:firstLineChars="200"/>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项目性质：改建危险化学品建设项目</w:t>
      </w:r>
    </w:p>
    <w:p>
      <w:pPr>
        <w:numPr>
          <w:ilvl w:val="0"/>
          <w:numId w:val="0"/>
        </w:numPr>
        <w:adjustRightInd w:val="0"/>
        <w:snapToGrid w:val="0"/>
        <w:spacing w:line="360" w:lineRule="auto"/>
        <w:ind w:firstLine="560" w:firstLineChars="200"/>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劳动定员：本次改建不新增定员</w:t>
      </w:r>
    </w:p>
    <w:p>
      <w:pPr>
        <w:numPr>
          <w:ilvl w:val="0"/>
          <w:numId w:val="0"/>
        </w:numPr>
        <w:adjustRightInd w:val="0"/>
        <w:snapToGrid w:val="0"/>
        <w:spacing w:line="360" w:lineRule="auto"/>
        <w:ind w:firstLine="560" w:firstLineChars="200"/>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工程占地面积：油库占地面积约386亩，无新征地</w:t>
      </w:r>
    </w:p>
    <w:p>
      <w:pPr>
        <w:numPr>
          <w:ilvl w:val="0"/>
          <w:numId w:val="0"/>
        </w:numPr>
        <w:adjustRightInd w:val="0"/>
        <w:snapToGrid w:val="0"/>
        <w:spacing w:line="360" w:lineRule="auto"/>
        <w:ind w:firstLine="560" w:firstLineChars="200"/>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储存规模：本次改造拟将T-2罐组中1座 5000m³拱顶罐（G-202）和1座3000m³拱顶罐（G-201）改为内浮顶罐，储存品种由柴油改为95#汽油，汽油总罐容由2.5万m³调整为3.3万 m³，柴油可用罐容由2.2万m³调整为1.4万m³，变性燃料乙醇0.05万m³保持不变，总库容变为4.05万m³，油库等级不变仍为二级。</w:t>
      </w:r>
    </w:p>
    <w:p>
      <w:pPr>
        <w:numPr>
          <w:ilvl w:val="0"/>
          <w:numId w:val="0"/>
        </w:numPr>
        <w:adjustRightInd w:val="0"/>
        <w:snapToGrid w:val="0"/>
        <w:spacing w:line="360" w:lineRule="auto"/>
        <w:ind w:firstLine="560" w:firstLineChars="200"/>
        <w:rPr>
          <w:rFonts w:ascii="宋体"/>
          <w:color w:val="auto"/>
        </w:rPr>
      </w:pPr>
      <w:r>
        <w:rPr>
          <w:rFonts w:hint="eastAsia" w:ascii="宋体" w:hAnsi="宋体" w:eastAsia="宋体" w:cs="Times New Roman"/>
          <w:color w:val="000000"/>
          <w:sz w:val="28"/>
          <w:szCs w:val="28"/>
        </w:rPr>
        <w:t>建设内容：将1台5000m</w:t>
      </w:r>
      <w:r>
        <w:rPr>
          <w:rFonts w:hint="eastAsia" w:ascii="宋体" w:hAnsi="宋体" w:eastAsia="宋体" w:cs="Times New Roman"/>
          <w:color w:val="000000"/>
          <w:sz w:val="28"/>
          <w:szCs w:val="28"/>
          <w:vertAlign w:val="superscript"/>
        </w:rPr>
        <w:t>3</w:t>
      </w:r>
      <w:r>
        <w:rPr>
          <w:rFonts w:hint="eastAsia" w:ascii="宋体" w:hAnsi="宋体" w:eastAsia="宋体" w:cs="Times New Roman"/>
          <w:color w:val="000000"/>
          <w:sz w:val="28"/>
          <w:szCs w:val="28"/>
        </w:rPr>
        <w:t>拱顶罐（G-202-050）和1台3000m</w:t>
      </w:r>
      <w:r>
        <w:rPr>
          <w:rFonts w:hint="eastAsia" w:ascii="宋体" w:hAnsi="宋体" w:eastAsia="宋体" w:cs="Times New Roman"/>
          <w:color w:val="000000"/>
          <w:sz w:val="28"/>
          <w:szCs w:val="28"/>
          <w:vertAlign w:val="superscript"/>
        </w:rPr>
        <w:t>3</w:t>
      </w:r>
      <w:r>
        <w:rPr>
          <w:rFonts w:hint="eastAsia" w:ascii="宋体" w:hAnsi="宋体" w:eastAsia="宋体" w:cs="Times New Roman"/>
          <w:color w:val="000000"/>
          <w:sz w:val="28"/>
          <w:szCs w:val="28"/>
        </w:rPr>
        <w:t>拱顶罐（G-201-030）改为内浮顶罐，储存油品由柴油改为汽油，拟将储罐前二道电动平板闸阀更换为电动DBB阀，拟将汽油收、发、倒罐管道延长至罐前金属软管与电</w:t>
      </w:r>
      <w:r>
        <w:rPr>
          <w:rFonts w:hint="eastAsia" w:ascii="宋体" w:hAnsi="宋体"/>
          <w:color w:val="000000"/>
          <w:sz w:val="28"/>
          <w:szCs w:val="28"/>
        </w:rPr>
        <w:t>动阀改动位置，原有柴油管道在法兰处设置法兰盖封堵，拟上6台可燃气体探测器，拟将原有横式泡沫产生器拆除并更换为PCL16型立式泡沫产生器。</w:t>
      </w:r>
    </w:p>
    <w:p>
      <w:pPr>
        <w:adjustRightInd w:val="0"/>
        <w:snapToGrid w:val="0"/>
        <w:spacing w:line="360" w:lineRule="auto"/>
        <w:ind w:firstLine="562" w:firstLineChars="200"/>
        <w:rPr>
          <w:rFonts w:hint="eastAsia" w:ascii="黑体" w:hAnsi="宋体" w:eastAsia="黑体"/>
          <w:b/>
          <w:snapToGrid w:val="0"/>
          <w:color w:val="000000"/>
          <w:kern w:val="0"/>
          <w:sz w:val="28"/>
          <w:szCs w:val="28"/>
        </w:rPr>
      </w:pPr>
      <w:r>
        <w:rPr>
          <w:rFonts w:hint="eastAsia" w:ascii="黑体" w:hAnsi="宋体" w:eastAsia="黑体"/>
          <w:b/>
          <w:snapToGrid w:val="0"/>
          <w:color w:val="000000"/>
          <w:kern w:val="0"/>
          <w:sz w:val="28"/>
          <w:szCs w:val="28"/>
        </w:rPr>
        <w:t>4.4.1评价单元划分原则</w:t>
      </w:r>
    </w:p>
    <w:p>
      <w:pPr>
        <w:pStyle w:val="9"/>
        <w:adjustRightInd w:val="0"/>
        <w:snapToGrid w:val="0"/>
        <w:ind w:firstLine="560"/>
        <w:textAlignment w:val="center"/>
        <w:rPr>
          <w:rFonts w:hint="eastAsia"/>
          <w:snapToGrid w:val="0"/>
          <w:color w:val="000000"/>
          <w:spacing w:val="0"/>
          <w:kern w:val="0"/>
          <w:sz w:val="28"/>
          <w:szCs w:val="28"/>
        </w:rPr>
      </w:pPr>
      <w:r>
        <w:rPr>
          <w:rFonts w:hint="eastAsia"/>
          <w:snapToGrid w:val="0"/>
          <w:color w:val="000000"/>
          <w:spacing w:val="0"/>
          <w:kern w:val="0"/>
          <w:sz w:val="28"/>
          <w:szCs w:val="28"/>
        </w:rPr>
        <w:t>在评价单元的划分中，一般按生产工艺功能、生产设施设备相对空间位置、危险有害因素类别及事故范围划分评价单元，使评价单元相对独立，具有明显的特征界限。</w:t>
      </w:r>
    </w:p>
    <w:p>
      <w:pPr>
        <w:adjustRightInd w:val="0"/>
        <w:snapToGrid w:val="0"/>
        <w:spacing w:line="360" w:lineRule="auto"/>
        <w:ind w:firstLine="562" w:firstLineChars="200"/>
        <w:rPr>
          <w:rFonts w:hint="eastAsia" w:ascii="黑体" w:hAnsi="宋体" w:eastAsia="黑体"/>
          <w:b/>
          <w:bCs/>
          <w:snapToGrid w:val="0"/>
          <w:color w:val="000000"/>
          <w:kern w:val="0"/>
          <w:sz w:val="28"/>
          <w:szCs w:val="28"/>
        </w:rPr>
      </w:pPr>
      <w:r>
        <w:rPr>
          <w:rFonts w:hint="eastAsia" w:ascii="黑体" w:hAnsi="宋体" w:eastAsia="黑体"/>
          <w:b/>
          <w:bCs/>
          <w:snapToGrid w:val="0"/>
          <w:color w:val="000000"/>
          <w:kern w:val="0"/>
          <w:sz w:val="28"/>
          <w:szCs w:val="28"/>
        </w:rPr>
        <w:t>4.4.2评价单元划分</w:t>
      </w:r>
    </w:p>
    <w:p>
      <w:pPr>
        <w:pStyle w:val="10"/>
        <w:adjustRightInd w:val="0"/>
        <w:snapToGrid w:val="0"/>
        <w:spacing w:after="0" w:line="360" w:lineRule="auto"/>
        <w:ind w:firstLine="600" w:firstLineChars="200"/>
        <w:rPr>
          <w:rFonts w:hint="eastAsia" w:ascii="宋体" w:hAnsi="宋体"/>
          <w:snapToGrid w:val="0"/>
          <w:color w:val="000000"/>
          <w:kern w:val="0"/>
          <w:sz w:val="28"/>
          <w:szCs w:val="28"/>
        </w:rPr>
      </w:pPr>
      <w:r>
        <w:rPr>
          <w:rFonts w:hint="eastAsia" w:ascii="宋体" w:hAnsi="宋体"/>
          <w:snapToGrid w:val="0"/>
          <w:color w:val="000000"/>
          <w:kern w:val="0"/>
          <w:sz w:val="28"/>
          <w:szCs w:val="28"/>
        </w:rPr>
        <w:t>根据《危险化学品经营单位安全评价导则》的要求，并结合油库实际情况，将该油库具体划分为四个评价单元，即：</w:t>
      </w:r>
    </w:p>
    <w:p>
      <w:pPr>
        <w:pStyle w:val="10"/>
        <w:adjustRightInd w:val="0"/>
        <w:snapToGrid w:val="0"/>
        <w:spacing w:after="0" w:line="360" w:lineRule="auto"/>
        <w:ind w:firstLine="600" w:firstLineChars="200"/>
        <w:rPr>
          <w:rFonts w:hint="eastAsia" w:ascii="宋体" w:hAnsi="宋体"/>
          <w:snapToGrid w:val="0"/>
          <w:color w:val="000000"/>
          <w:kern w:val="0"/>
          <w:sz w:val="28"/>
          <w:szCs w:val="28"/>
        </w:rPr>
      </w:pPr>
      <w:r>
        <w:rPr>
          <w:rFonts w:hint="eastAsia" w:ascii="宋体" w:hAnsi="宋体"/>
          <w:snapToGrid w:val="0"/>
          <w:color w:val="000000"/>
          <w:kern w:val="0"/>
          <w:sz w:val="28"/>
          <w:szCs w:val="28"/>
        </w:rPr>
        <w:t>（一）安全管理</w:t>
      </w:r>
    </w:p>
    <w:p>
      <w:pPr>
        <w:pStyle w:val="10"/>
        <w:adjustRightInd w:val="0"/>
        <w:snapToGrid w:val="0"/>
        <w:spacing w:after="0" w:line="360" w:lineRule="auto"/>
        <w:ind w:firstLine="600" w:firstLineChars="200"/>
        <w:rPr>
          <w:rFonts w:hint="eastAsia" w:ascii="宋体" w:hAnsi="宋体"/>
          <w:snapToGrid w:val="0"/>
          <w:color w:val="000000"/>
          <w:kern w:val="0"/>
          <w:sz w:val="28"/>
          <w:szCs w:val="28"/>
        </w:rPr>
      </w:pPr>
      <w:r>
        <w:rPr>
          <w:rFonts w:hint="eastAsia" w:ascii="宋体" w:hAnsi="宋体"/>
          <w:snapToGrid w:val="0"/>
          <w:color w:val="000000"/>
          <w:kern w:val="0"/>
          <w:sz w:val="28"/>
          <w:szCs w:val="28"/>
        </w:rPr>
        <w:t>（二）库址选择及总图布置</w:t>
      </w:r>
    </w:p>
    <w:p>
      <w:pPr>
        <w:pStyle w:val="10"/>
        <w:adjustRightInd w:val="0"/>
        <w:snapToGrid w:val="0"/>
        <w:spacing w:after="0" w:line="360" w:lineRule="auto"/>
        <w:ind w:firstLine="600" w:firstLineChars="200"/>
        <w:rPr>
          <w:rFonts w:hint="eastAsia" w:ascii="宋体" w:hAnsi="宋体"/>
          <w:snapToGrid w:val="0"/>
          <w:color w:val="000000"/>
          <w:kern w:val="0"/>
          <w:sz w:val="28"/>
          <w:szCs w:val="28"/>
        </w:rPr>
      </w:pPr>
      <w:r>
        <w:rPr>
          <w:rFonts w:hint="eastAsia" w:ascii="宋体" w:hAnsi="宋体"/>
          <w:snapToGrid w:val="0"/>
          <w:color w:val="000000"/>
          <w:kern w:val="0"/>
          <w:sz w:val="28"/>
          <w:szCs w:val="28"/>
        </w:rPr>
        <w:t>（三）工艺设施</w:t>
      </w:r>
    </w:p>
    <w:p>
      <w:pPr>
        <w:pStyle w:val="10"/>
        <w:adjustRightInd w:val="0"/>
        <w:snapToGrid w:val="0"/>
        <w:spacing w:after="0" w:line="360" w:lineRule="auto"/>
        <w:ind w:firstLine="600" w:firstLineChars="200"/>
        <w:rPr>
          <w:rFonts w:hint="eastAsia" w:ascii="宋体" w:hAnsi="宋体"/>
          <w:snapToGrid w:val="0"/>
          <w:color w:val="000000"/>
          <w:kern w:val="0"/>
          <w:sz w:val="28"/>
          <w:szCs w:val="28"/>
        </w:rPr>
      </w:pPr>
      <w:r>
        <w:rPr>
          <w:rFonts w:hint="eastAsia" w:ascii="宋体" w:hAnsi="宋体"/>
          <w:snapToGrid w:val="0"/>
          <w:color w:val="000000"/>
          <w:kern w:val="0"/>
          <w:sz w:val="28"/>
          <w:szCs w:val="28"/>
        </w:rPr>
        <w:t>（四）其它设施。</w:t>
      </w:r>
    </w:p>
    <w:p>
      <w:pPr>
        <w:adjustRightInd w:val="0"/>
        <w:snapToGrid w:val="0"/>
        <w:spacing w:line="360" w:lineRule="auto"/>
        <w:ind w:firstLine="562" w:firstLineChars="200"/>
        <w:rPr>
          <w:rFonts w:hint="eastAsia" w:ascii="黑体" w:hAnsi="宋体" w:eastAsia="黑体"/>
          <w:b/>
          <w:bCs/>
          <w:snapToGrid w:val="0"/>
          <w:color w:val="000000"/>
          <w:kern w:val="0"/>
          <w:sz w:val="28"/>
          <w:szCs w:val="28"/>
        </w:rPr>
      </w:pPr>
      <w:r>
        <w:rPr>
          <w:rFonts w:hint="eastAsia" w:ascii="黑体" w:hAnsi="宋体" w:eastAsia="黑体"/>
          <w:b/>
          <w:bCs/>
          <w:snapToGrid w:val="0"/>
          <w:color w:val="000000"/>
          <w:kern w:val="0"/>
          <w:sz w:val="28"/>
          <w:szCs w:val="28"/>
        </w:rPr>
        <w:t>4.4.3评价方法选择</w:t>
      </w:r>
    </w:p>
    <w:p>
      <w:pPr>
        <w:adjustRightInd w:val="0"/>
        <w:snapToGrid w:val="0"/>
        <w:spacing w:line="360" w:lineRule="auto"/>
        <w:ind w:firstLine="560" w:firstLineChars="200"/>
        <w:rPr>
          <w:rFonts w:hint="eastAsia" w:ascii="宋体" w:hAnsi="宋体"/>
          <w:bCs/>
          <w:snapToGrid w:val="0"/>
          <w:color w:val="000000"/>
          <w:kern w:val="0"/>
          <w:sz w:val="28"/>
          <w:szCs w:val="28"/>
        </w:rPr>
      </w:pPr>
      <w:r>
        <w:rPr>
          <w:rFonts w:hint="eastAsia" w:ascii="宋体" w:hAnsi="宋体"/>
          <w:bCs/>
          <w:snapToGrid w:val="0"/>
          <w:color w:val="000000"/>
          <w:kern w:val="0"/>
          <w:sz w:val="28"/>
          <w:szCs w:val="28"/>
        </w:rPr>
        <w:t>根据该油库的物质特性和设备、设施等危险有害因素分析情况，确定本次安全评价采用预先危险性分析、安全检查表、危险度评价、个人风险和社会风险值计算等评价方法进行定性、定量评价。</w:t>
      </w:r>
    </w:p>
    <w:p>
      <w:pPr>
        <w:adjustRightInd w:val="0"/>
        <w:snapToGrid w:val="0"/>
        <w:spacing w:line="360" w:lineRule="auto"/>
        <w:ind w:firstLine="560" w:firstLineChars="200"/>
        <w:rPr>
          <w:rFonts w:hint="eastAsia" w:ascii="宋体" w:hAnsi="宋体"/>
          <w:snapToGrid w:val="0"/>
          <w:color w:val="000000"/>
          <w:kern w:val="0"/>
          <w:sz w:val="28"/>
          <w:szCs w:val="28"/>
        </w:rPr>
      </w:pPr>
      <w:r>
        <w:rPr>
          <w:rFonts w:hint="eastAsia" w:ascii="宋体" w:hAnsi="宋体"/>
          <w:bCs/>
          <w:snapToGrid w:val="0"/>
          <w:color w:val="000000"/>
          <w:kern w:val="0"/>
          <w:sz w:val="28"/>
          <w:szCs w:val="28"/>
        </w:rPr>
        <w:t>各评价单元所选用的评价方法情况见下表</w:t>
      </w:r>
      <w:r>
        <w:rPr>
          <w:rFonts w:hint="eastAsia" w:ascii="宋体" w:hAnsi="宋体"/>
          <w:snapToGrid w:val="0"/>
          <w:color w:val="000000"/>
          <w:kern w:val="0"/>
          <w:sz w:val="28"/>
          <w:szCs w:val="28"/>
        </w:rPr>
        <w:t>。</w:t>
      </w:r>
    </w:p>
    <w:p>
      <w:pPr>
        <w:pStyle w:val="24"/>
        <w:spacing w:line="360" w:lineRule="auto"/>
        <w:rPr>
          <w:color w:val="000000"/>
        </w:rPr>
      </w:pPr>
      <w:r>
        <w:rPr>
          <w:rFonts w:hint="eastAsia"/>
          <w:color w:val="000000"/>
        </w:rPr>
        <w:t>表4-6评价单元与选用评价方法对应表</w:t>
      </w:r>
    </w:p>
    <w:tbl>
      <w:tblPr>
        <w:tblStyle w:val="11"/>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2560"/>
        <w:gridCol w:w="5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60" w:type="dxa"/>
            <w:noWrap w:val="0"/>
            <w:vAlign w:val="center"/>
          </w:tcPr>
          <w:p>
            <w:pPr>
              <w:adjustRightInd w:val="0"/>
              <w:snapToGrid w:val="0"/>
              <w:jc w:val="center"/>
              <w:rPr>
                <w:rFonts w:ascii="宋体" w:hAnsi="宋体"/>
                <w:b/>
                <w:color w:val="000000"/>
              </w:rPr>
            </w:pPr>
            <w:r>
              <w:rPr>
                <w:rFonts w:hint="eastAsia" w:ascii="宋体" w:hAnsi="宋体"/>
                <w:b/>
                <w:color w:val="000000"/>
              </w:rPr>
              <w:t>序号</w:t>
            </w:r>
          </w:p>
        </w:tc>
        <w:tc>
          <w:tcPr>
            <w:tcW w:w="2560" w:type="dxa"/>
            <w:noWrap w:val="0"/>
            <w:vAlign w:val="center"/>
          </w:tcPr>
          <w:p>
            <w:pPr>
              <w:adjustRightInd w:val="0"/>
              <w:snapToGrid w:val="0"/>
              <w:jc w:val="center"/>
              <w:rPr>
                <w:rFonts w:ascii="宋体" w:hAnsi="宋体"/>
                <w:b/>
                <w:color w:val="000000"/>
              </w:rPr>
            </w:pPr>
            <w:r>
              <w:rPr>
                <w:rFonts w:hint="eastAsia" w:ascii="宋体" w:hAnsi="宋体"/>
                <w:b/>
                <w:color w:val="000000"/>
              </w:rPr>
              <w:t>评价单元名称</w:t>
            </w:r>
          </w:p>
        </w:tc>
        <w:tc>
          <w:tcPr>
            <w:tcW w:w="5158" w:type="dxa"/>
            <w:noWrap w:val="0"/>
            <w:vAlign w:val="center"/>
          </w:tcPr>
          <w:p>
            <w:pPr>
              <w:adjustRightInd w:val="0"/>
              <w:snapToGrid w:val="0"/>
              <w:jc w:val="center"/>
              <w:rPr>
                <w:rFonts w:ascii="宋体" w:hAnsi="宋体"/>
                <w:b/>
                <w:color w:val="000000"/>
              </w:rPr>
            </w:pPr>
            <w:r>
              <w:rPr>
                <w:rFonts w:hint="eastAsia" w:ascii="宋体" w:hAnsi="宋体"/>
                <w:b/>
                <w:color w:val="000000"/>
              </w:rPr>
              <w:t>采用的评价方法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160" w:type="dxa"/>
            <w:noWrap w:val="0"/>
            <w:vAlign w:val="center"/>
          </w:tcPr>
          <w:p>
            <w:pPr>
              <w:adjustRightInd w:val="0"/>
              <w:snapToGrid w:val="0"/>
              <w:jc w:val="center"/>
              <w:rPr>
                <w:rFonts w:ascii="宋体" w:hAnsi="宋体"/>
                <w:color w:val="000000"/>
                <w:szCs w:val="21"/>
              </w:rPr>
            </w:pPr>
            <w:r>
              <w:rPr>
                <w:rFonts w:hint="eastAsia" w:ascii="宋体" w:hAnsi="宋体"/>
                <w:color w:val="000000"/>
                <w:szCs w:val="21"/>
              </w:rPr>
              <w:t>1</w:t>
            </w:r>
          </w:p>
        </w:tc>
        <w:tc>
          <w:tcPr>
            <w:tcW w:w="2560" w:type="dxa"/>
            <w:noWrap w:val="0"/>
            <w:vAlign w:val="center"/>
          </w:tcPr>
          <w:p>
            <w:pPr>
              <w:adjustRightInd w:val="0"/>
              <w:snapToGrid w:val="0"/>
              <w:spacing w:line="360" w:lineRule="auto"/>
              <w:jc w:val="center"/>
              <w:textAlignment w:val="center"/>
              <w:rPr>
                <w:rFonts w:ascii="宋体"/>
                <w:color w:val="000000"/>
                <w:szCs w:val="21"/>
              </w:rPr>
            </w:pPr>
            <w:r>
              <w:rPr>
                <w:rFonts w:ascii="宋体"/>
                <w:color w:val="000000"/>
                <w:spacing w:val="10"/>
                <w:szCs w:val="21"/>
              </w:rPr>
              <w:t>安全管理</w:t>
            </w:r>
          </w:p>
        </w:tc>
        <w:tc>
          <w:tcPr>
            <w:tcW w:w="5158" w:type="dxa"/>
            <w:noWrap w:val="0"/>
            <w:vAlign w:val="center"/>
          </w:tcPr>
          <w:p>
            <w:pPr>
              <w:adjustRightInd w:val="0"/>
              <w:snapToGrid w:val="0"/>
              <w:jc w:val="center"/>
              <w:rPr>
                <w:rFonts w:ascii="宋体" w:hAnsi="宋体"/>
                <w:color w:val="000000"/>
                <w:szCs w:val="21"/>
              </w:rPr>
            </w:pPr>
            <w:r>
              <w:rPr>
                <w:rFonts w:hint="eastAsia" w:ascii="宋体" w:hAnsi="宋体"/>
                <w:color w:val="000000"/>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160" w:type="dxa"/>
            <w:noWrap w:val="0"/>
            <w:vAlign w:val="center"/>
          </w:tcPr>
          <w:p>
            <w:pPr>
              <w:adjustRightInd w:val="0"/>
              <w:snapToGrid w:val="0"/>
              <w:jc w:val="center"/>
              <w:rPr>
                <w:rFonts w:ascii="宋体" w:hAnsi="宋体"/>
                <w:color w:val="000000"/>
                <w:szCs w:val="21"/>
              </w:rPr>
            </w:pPr>
            <w:r>
              <w:rPr>
                <w:rFonts w:hint="eastAsia" w:ascii="宋体" w:hAnsi="宋体"/>
                <w:color w:val="000000"/>
                <w:szCs w:val="21"/>
              </w:rPr>
              <w:t>2</w:t>
            </w:r>
          </w:p>
        </w:tc>
        <w:tc>
          <w:tcPr>
            <w:tcW w:w="2560" w:type="dxa"/>
            <w:noWrap w:val="0"/>
            <w:vAlign w:val="center"/>
          </w:tcPr>
          <w:p>
            <w:pPr>
              <w:adjustRightInd w:val="0"/>
              <w:snapToGrid w:val="0"/>
              <w:spacing w:line="360" w:lineRule="auto"/>
              <w:jc w:val="center"/>
              <w:rPr>
                <w:rFonts w:ascii="宋体"/>
                <w:color w:val="000000"/>
                <w:spacing w:val="10"/>
                <w:szCs w:val="21"/>
              </w:rPr>
            </w:pPr>
            <w:r>
              <w:rPr>
                <w:rFonts w:hint="eastAsia" w:ascii="宋体"/>
                <w:color w:val="000000"/>
                <w:spacing w:val="10"/>
                <w:szCs w:val="21"/>
              </w:rPr>
              <w:t>库址选择及总图布置</w:t>
            </w:r>
          </w:p>
        </w:tc>
        <w:tc>
          <w:tcPr>
            <w:tcW w:w="5158" w:type="dxa"/>
            <w:noWrap w:val="0"/>
            <w:vAlign w:val="center"/>
          </w:tcPr>
          <w:p>
            <w:pPr>
              <w:pStyle w:val="7"/>
              <w:adjustRightInd w:val="0"/>
              <w:snapToGrid w:val="0"/>
              <w:jc w:val="center"/>
              <w:rPr>
                <w:color w:val="000000"/>
                <w:szCs w:val="21"/>
              </w:rPr>
            </w:pPr>
            <w:r>
              <w:rPr>
                <w:rFonts w:hint="eastAsia"/>
                <w:color w:val="000000"/>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160" w:type="dxa"/>
            <w:noWrap w:val="0"/>
            <w:vAlign w:val="center"/>
          </w:tcPr>
          <w:p>
            <w:pPr>
              <w:adjustRightInd w:val="0"/>
              <w:snapToGrid w:val="0"/>
              <w:jc w:val="center"/>
              <w:rPr>
                <w:rFonts w:ascii="宋体" w:hAnsi="宋体"/>
                <w:color w:val="000000"/>
                <w:szCs w:val="21"/>
              </w:rPr>
            </w:pPr>
            <w:r>
              <w:rPr>
                <w:rFonts w:hint="eastAsia" w:ascii="宋体" w:hAnsi="宋体"/>
                <w:color w:val="000000"/>
                <w:szCs w:val="21"/>
              </w:rPr>
              <w:t>3</w:t>
            </w:r>
          </w:p>
        </w:tc>
        <w:tc>
          <w:tcPr>
            <w:tcW w:w="2560" w:type="dxa"/>
            <w:noWrap w:val="0"/>
            <w:vAlign w:val="center"/>
          </w:tcPr>
          <w:p>
            <w:pPr>
              <w:adjustRightInd w:val="0"/>
              <w:snapToGrid w:val="0"/>
              <w:spacing w:line="360" w:lineRule="auto"/>
              <w:jc w:val="center"/>
              <w:rPr>
                <w:rFonts w:ascii="宋体"/>
                <w:color w:val="000000"/>
                <w:spacing w:val="10"/>
                <w:szCs w:val="21"/>
              </w:rPr>
            </w:pPr>
            <w:r>
              <w:rPr>
                <w:rFonts w:hint="eastAsia" w:ascii="宋体"/>
                <w:color w:val="000000"/>
                <w:spacing w:val="10"/>
                <w:szCs w:val="21"/>
              </w:rPr>
              <w:t>工艺设施</w:t>
            </w:r>
          </w:p>
        </w:tc>
        <w:tc>
          <w:tcPr>
            <w:tcW w:w="5158" w:type="dxa"/>
            <w:noWrap w:val="0"/>
            <w:vAlign w:val="center"/>
          </w:tcPr>
          <w:p>
            <w:pPr>
              <w:adjustRightInd w:val="0"/>
              <w:snapToGrid w:val="0"/>
              <w:rPr>
                <w:rFonts w:ascii="宋体" w:hAnsi="宋体"/>
                <w:color w:val="000000"/>
                <w:szCs w:val="21"/>
              </w:rPr>
            </w:pPr>
            <w:r>
              <w:rPr>
                <w:rFonts w:hint="eastAsia" w:ascii="宋体" w:hAnsi="宋体"/>
                <w:color w:val="000000"/>
                <w:szCs w:val="21"/>
              </w:rPr>
              <w:t>安全检查表、预先危险性分析</w:t>
            </w:r>
            <w:r>
              <w:rPr>
                <w:rFonts w:hint="eastAsia" w:ascii="宋体" w:hAnsi="宋体" w:cs="宋体"/>
                <w:color w:val="000000"/>
                <w:spacing w:val="10"/>
                <w:szCs w:val="21"/>
              </w:rPr>
              <w:t>、危险度、</w:t>
            </w:r>
            <w:r>
              <w:rPr>
                <w:rFonts w:hint="eastAsia" w:ascii="宋体" w:hAnsi="宋体"/>
                <w:snapToGrid w:val="0"/>
                <w:color w:val="000000"/>
                <w:szCs w:val="21"/>
              </w:rPr>
              <w:t>个人风险和社会风险值评价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160" w:type="dxa"/>
            <w:noWrap w:val="0"/>
            <w:vAlign w:val="center"/>
          </w:tcPr>
          <w:p>
            <w:pPr>
              <w:adjustRightInd w:val="0"/>
              <w:snapToGrid w:val="0"/>
              <w:jc w:val="center"/>
              <w:rPr>
                <w:rFonts w:ascii="宋体" w:hAnsi="宋体"/>
                <w:color w:val="000000"/>
                <w:szCs w:val="21"/>
              </w:rPr>
            </w:pPr>
            <w:r>
              <w:rPr>
                <w:rFonts w:hint="eastAsia" w:ascii="宋体" w:hAnsi="宋体"/>
                <w:color w:val="000000"/>
                <w:szCs w:val="21"/>
              </w:rPr>
              <w:t>4</w:t>
            </w:r>
          </w:p>
        </w:tc>
        <w:tc>
          <w:tcPr>
            <w:tcW w:w="2560" w:type="dxa"/>
            <w:noWrap w:val="0"/>
            <w:vAlign w:val="center"/>
          </w:tcPr>
          <w:p>
            <w:pPr>
              <w:adjustRightInd w:val="0"/>
              <w:snapToGrid w:val="0"/>
              <w:spacing w:line="360" w:lineRule="auto"/>
              <w:jc w:val="center"/>
              <w:rPr>
                <w:rFonts w:ascii="宋体"/>
                <w:color w:val="000000"/>
                <w:spacing w:val="10"/>
                <w:szCs w:val="21"/>
              </w:rPr>
            </w:pPr>
            <w:r>
              <w:rPr>
                <w:rFonts w:hint="eastAsia" w:ascii="宋体"/>
                <w:color w:val="000000"/>
                <w:spacing w:val="10"/>
                <w:szCs w:val="21"/>
              </w:rPr>
              <w:t>其它</w:t>
            </w:r>
            <w:r>
              <w:rPr>
                <w:rFonts w:ascii="宋体"/>
                <w:color w:val="000000"/>
                <w:spacing w:val="10"/>
                <w:szCs w:val="21"/>
              </w:rPr>
              <w:t>设施</w:t>
            </w:r>
          </w:p>
        </w:tc>
        <w:tc>
          <w:tcPr>
            <w:tcW w:w="5158" w:type="dxa"/>
            <w:noWrap w:val="0"/>
            <w:vAlign w:val="center"/>
          </w:tcPr>
          <w:p>
            <w:pPr>
              <w:adjustRightInd w:val="0"/>
              <w:snapToGrid w:val="0"/>
              <w:jc w:val="center"/>
              <w:rPr>
                <w:rFonts w:ascii="宋体" w:hAnsi="宋体"/>
                <w:color w:val="000000"/>
                <w:szCs w:val="21"/>
              </w:rPr>
            </w:pPr>
            <w:r>
              <w:rPr>
                <w:rFonts w:hint="eastAsia" w:ascii="宋体" w:hAnsi="宋体"/>
                <w:color w:val="000000"/>
                <w:szCs w:val="21"/>
              </w:rPr>
              <w:t xml:space="preserve"> 安全检查表、预先危险性分析</w:t>
            </w:r>
          </w:p>
        </w:tc>
      </w:tr>
    </w:tbl>
    <w:p>
      <w:pPr>
        <w:pStyle w:val="17"/>
        <w:widowControl w:val="0"/>
        <w:spacing w:line="360" w:lineRule="auto"/>
        <w:ind w:firstLine="420"/>
        <w:rPr>
          <w:rFonts w:ascii="黑体" w:hAnsi="黑体" w:eastAsia="黑体"/>
          <w:highlight w:val="none"/>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3"/>
        <w:snapToGrid w:val="0"/>
        <w:spacing w:beforeLines="150" w:after="120" w:afterLines="50"/>
        <w:ind w:left="0"/>
        <w:rPr>
          <w:rFonts w:hint="eastAsia" w:ascii="黑体" w:eastAsia="黑体"/>
          <w:color w:val="000000"/>
          <w:sz w:val="32"/>
          <w:szCs w:val="32"/>
        </w:rPr>
      </w:pPr>
      <w:bookmarkStart w:id="1" w:name="_Toc12340"/>
      <w:r>
        <w:rPr>
          <w:rFonts w:hint="eastAsia" w:ascii="黑体" w:eastAsia="黑体"/>
          <w:color w:val="000000"/>
          <w:sz w:val="32"/>
          <w:szCs w:val="32"/>
        </w:rPr>
        <w:t>6安全对策与建议</w:t>
      </w:r>
      <w:bookmarkEnd w:id="1"/>
    </w:p>
    <w:p>
      <w:pPr>
        <w:adjustRightInd w:val="0"/>
        <w:snapToGrid w:val="0"/>
        <w:spacing w:line="360" w:lineRule="auto"/>
        <w:ind w:firstLine="560" w:firstLineChars="200"/>
        <w:rPr>
          <w:rFonts w:hint="eastAsia" w:ascii="楷体_GB2312" w:eastAsia="楷体_GB2312"/>
          <w:color w:val="000000"/>
          <w:sz w:val="28"/>
          <w:szCs w:val="28"/>
        </w:rPr>
      </w:pPr>
      <w:r>
        <w:rPr>
          <w:rFonts w:hint="eastAsia"/>
          <w:color w:val="000000"/>
          <w:sz w:val="28"/>
          <w:szCs w:val="28"/>
        </w:rPr>
        <w:t>该拟建项目涉及到的危险化学品主要为易燃、易爆危险物品，储存装置及相关设施存在的危险、有害因素主要为火灾、爆炸等。因此，该拟建项目除加强正常的安全管理外，应在今后的生产过程中做好以下各方面的工作。</w:t>
      </w:r>
    </w:p>
    <w:p>
      <w:pPr>
        <w:pStyle w:val="4"/>
        <w:adjustRightInd w:val="0"/>
        <w:snapToGrid w:val="0"/>
        <w:spacing w:before="0" w:after="0" w:line="360" w:lineRule="auto"/>
        <w:jc w:val="center"/>
        <w:rPr>
          <w:rFonts w:hint="eastAsia" w:ascii="楷体_GB2312" w:eastAsia="楷体_GB2312"/>
          <w:color w:val="000000"/>
        </w:rPr>
      </w:pPr>
      <w:bookmarkStart w:id="2" w:name="_Toc20143"/>
      <w:r>
        <w:rPr>
          <w:rFonts w:hint="eastAsia" w:ascii="楷体_GB2312" w:eastAsia="楷体_GB2312"/>
          <w:color w:val="000000"/>
        </w:rPr>
        <w:t>6.1安全设施的更新与改进建议</w:t>
      </w:r>
      <w:bookmarkEnd w:id="2"/>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1、公司的各种安全设施应有专人负责管理，定期检查和维护保养。安全设施应编入设备检修计划，定期检修。安全设施不得随意拆除、挪用或弃置不用，因检修拆除的，检修完毕后应立即复原。按照国家有关标准规范的要求，对安全设施定期更新与改进，保证安全设施在其有效使用期限内。</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2、压力管道应该按照规定登记、注册，并将登记铭牌置于设备的显著位置。安全阀、压力表等设施应定期检测，并保证在有效期内。</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3、凡容易发生事故的地方，应按GB2894的规定设置安全标志，或在建(构)筑物及设备上按GB2893规定涂安全色。</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4、输油管道应定期进行检验检测，做好检验检测记录。</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5、平台、防护栏杆、地沟、爬梯等设备的安全防护设施应处于完好状态，正确安放，不得随意移动。如确因工作需要而移动、变更，必须采取临时安全措施，待工作完毕后及时复原。发生损坏，及时修复，如不能确保使用安全，要立即更换。</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6、可燃气体检测报警器应定期检测、保养，检测报告应在有效期内。</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7、生产场所应急救援器材和防护器材应配备齐全，防护用品定期检查、维护，发现不能正常使用时要维修、更换。</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val="en-US" w:eastAsia="zh-CN"/>
        </w:rPr>
        <w:t>8、</w:t>
      </w:r>
      <w:r>
        <w:rPr>
          <w:rFonts w:hint="eastAsia" w:ascii="宋体" w:hAnsi="宋体"/>
          <w:color w:val="000000"/>
          <w:spacing w:val="6"/>
          <w:sz w:val="28"/>
          <w:szCs w:val="28"/>
        </w:rPr>
        <w:t>化工装置安全标志应按现行国家标准《安全标志及其使用导则》GB2894执行。</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val="en-US" w:eastAsia="zh-CN"/>
        </w:rPr>
        <w:t>9、</w:t>
      </w:r>
      <w:r>
        <w:rPr>
          <w:rFonts w:hint="eastAsia" w:ascii="宋体" w:hAnsi="宋体"/>
          <w:color w:val="000000"/>
          <w:spacing w:val="6"/>
          <w:sz w:val="28"/>
          <w:szCs w:val="28"/>
        </w:rPr>
        <w:t>化工装置的管道刷色和符号应符合现行国家标准《工业管道的基本识别色、识别符号和安全标识》GB7231的规定。</w:t>
      </w:r>
    </w:p>
    <w:p>
      <w:pPr>
        <w:adjustRightInd w:val="0"/>
        <w:snapToGrid w:val="0"/>
        <w:spacing w:line="360" w:lineRule="auto"/>
        <w:ind w:firstLine="600"/>
        <w:rPr>
          <w:rFonts w:hint="default" w:ascii="宋体" w:hAnsi="宋体" w:eastAsia="宋体"/>
          <w:color w:val="000000"/>
          <w:spacing w:val="6"/>
          <w:sz w:val="28"/>
          <w:szCs w:val="28"/>
          <w:lang w:val="en-US" w:eastAsia="zh-CN"/>
        </w:rPr>
      </w:pPr>
      <w:r>
        <w:rPr>
          <w:rFonts w:hint="eastAsia" w:ascii="宋体" w:hAnsi="宋体"/>
          <w:color w:val="000000"/>
          <w:spacing w:val="6"/>
          <w:sz w:val="28"/>
          <w:szCs w:val="28"/>
          <w:lang w:val="en-US" w:eastAsia="zh-CN"/>
        </w:rPr>
        <w:t>10、储罐的的液位计、温度计，应装有带远传报警的安全装置。</w:t>
      </w:r>
    </w:p>
    <w:p>
      <w:pPr>
        <w:pStyle w:val="4"/>
        <w:adjustRightInd w:val="0"/>
        <w:snapToGrid w:val="0"/>
        <w:spacing w:before="0" w:after="0" w:line="360" w:lineRule="auto"/>
        <w:jc w:val="center"/>
        <w:rPr>
          <w:rFonts w:hint="eastAsia" w:ascii="楷体_GB2312" w:eastAsia="楷体_GB2312"/>
          <w:color w:val="000000"/>
        </w:rPr>
      </w:pPr>
      <w:bookmarkStart w:id="3" w:name="_Toc5529"/>
      <w:r>
        <w:rPr>
          <w:rFonts w:hint="eastAsia" w:ascii="楷体_GB2312" w:eastAsia="楷体_GB2312"/>
          <w:color w:val="000000"/>
        </w:rPr>
        <w:t>6.2安全条件和安全生产条件的完善与维护</w:t>
      </w:r>
      <w:bookmarkEnd w:id="3"/>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1、加强设备技术管理，提高设备的可靠性。设备应挂铭牌标明设备的状态、用途及其相关信息等情况。</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2、公司应明确评审和修订安全生产规章制度和安全操作规程的时机和频次，定期进行评审和修订，确保其有效性和适用性，保证岗位所使用的为最新有效版本。</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3、每次装卸前必须对设备、管道、仪表等进行严格确认，并严格遵守开车程序、工艺技术指标。</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4、装卸运行中，应严格遵守操作规程，严格控制物料配比、温度等指标，以防止因操作不当而发生事故。</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5、油库内的电气设备应及时维护，保持完好状态，操作人员必须穿戴好绝缘防护用品防止触电；管道、设备的静电接地应完好，防止静电聚积引发火灾爆炸。</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6、操作人员作业过程中不得饮食，不得用手擦嘴、脸、眼睛。每天作业完毕，必须及时用肥皂（或专用洗涤剂）吸净面部、手部，用清水漱口，防护用具应及时清洗，集中存放。</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7、现场应设置应急救援器材箱和防护用品专柜，并配备符合标准要求的应急救援器材及防护用品。</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8、企业应根据《危险化学品企业特殊作业安全规范》GB30871-2022对危险作业规程进行修订并运行到作业安全规程中。</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9、企业应完善相关安全作业规程，对受限空间作业提高一个级别审批。凡是装置或设备局部停车检修涉及设备拆装实施动火作业和进入受限空间作业的，要制定检修方案、组织风险分析、落实安全措施；凡是涉及系统停车检修和长周期检修的，要制定检修计划，停车方案、安全对策措施报县市区应急局审查批准后方可实施。严格限定现场作业人数。从事动火、进入受限空间、吊装、登高、临时用电等危险作业时，同一危险区域内不得超过3人；系统性检修时同一作业平台或同一有限空间内不得超过9人。企业对十大作业活动制定了作业票证，严格按照程序进行审批，作业活动票证齐全，安全防护设施到位，监督管理严格。</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10、公司应进一步建立和健全安全装置管理制度和劳动防护用具（品）管理制度，为从业人员提供符合国家标准或者行业标准的劳动保护用品，并监督、教育从业人员按照使用规则佩戴、使用。</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11、公司应定期对事故应急救援预案定期进行演练，演练应有纪录，对演练中出现的问题应及时整改，对于预案不切合实际的部分应及时予以修正。</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12、公司应制定关键装置、重点部位安全管理制度和应急预案，实行企业管理人员定点承包的安全管理机制。承包人对所负责的关键装置、重点部位负有安全监督与指导责任。</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13、公司应对动火作业、进入受限空间作业、动土作业、临时用电作业、高处作业等危险性作业实施作业许可证管理，履行严格的审批手续。</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14、公司应加强电气设备的管理，不准随意乱装电气设施和乱拉电线，安装电气设施由有资质的电工安装，从业人员也应掌握电器的一般安全知识，防止电气事故的发生。公司应加强对电缆系统的专业管理，定期组织对装置高、低压用电设备和电缆等进行专业检查，以预防因设备故障、电缆老化等原因引发各种事故。</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15、公司应按照《个体防护装备配备规范》(GB39800)中相关要求配备劳动防护用品并定期进行更换。</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rPr>
        <w:t>16、该油库重大危险源级别发生变化，公司应尽快重新备案。</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val="en-US" w:eastAsia="zh-CN"/>
        </w:rPr>
        <w:t>17、</w:t>
      </w:r>
      <w:r>
        <w:rPr>
          <w:rFonts w:hint="eastAsia" w:ascii="宋体" w:hAnsi="宋体"/>
          <w:color w:val="000000"/>
          <w:spacing w:val="6"/>
          <w:sz w:val="28"/>
          <w:szCs w:val="28"/>
        </w:rPr>
        <w:t>金属工艺管道连接应符合下列规定：</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eastAsia="zh-CN"/>
        </w:rPr>
        <w:t>（</w:t>
      </w:r>
      <w:r>
        <w:rPr>
          <w:rFonts w:hint="eastAsia" w:ascii="宋体" w:hAnsi="宋体"/>
          <w:color w:val="000000"/>
          <w:spacing w:val="6"/>
          <w:sz w:val="28"/>
          <w:szCs w:val="28"/>
          <w:lang w:val="en-US" w:eastAsia="zh-CN"/>
        </w:rPr>
        <w:t>1</w:t>
      </w:r>
      <w:r>
        <w:rPr>
          <w:rFonts w:hint="eastAsia" w:ascii="宋体" w:hAnsi="宋体"/>
          <w:color w:val="000000"/>
          <w:spacing w:val="6"/>
          <w:sz w:val="28"/>
          <w:szCs w:val="28"/>
          <w:lang w:eastAsia="zh-CN"/>
        </w:rPr>
        <w:t>）</w:t>
      </w:r>
      <w:r>
        <w:rPr>
          <w:rFonts w:hint="eastAsia" w:ascii="宋体" w:hAnsi="宋体"/>
          <w:color w:val="000000"/>
          <w:spacing w:val="6"/>
          <w:sz w:val="28"/>
          <w:szCs w:val="28"/>
        </w:rPr>
        <w:t>管道之间及管道与管件之间应采用焊接连接。</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eastAsia="zh-CN"/>
        </w:rPr>
        <w:t>（</w:t>
      </w:r>
      <w:r>
        <w:rPr>
          <w:rFonts w:hint="eastAsia" w:ascii="宋体" w:hAnsi="宋体"/>
          <w:color w:val="000000"/>
          <w:spacing w:val="6"/>
          <w:sz w:val="28"/>
          <w:szCs w:val="28"/>
          <w:lang w:val="en-US" w:eastAsia="zh-CN"/>
        </w:rPr>
        <w:t>2</w:t>
      </w:r>
      <w:r>
        <w:rPr>
          <w:rFonts w:hint="eastAsia" w:ascii="宋体" w:hAnsi="宋体"/>
          <w:color w:val="000000"/>
          <w:spacing w:val="6"/>
          <w:sz w:val="28"/>
          <w:szCs w:val="28"/>
          <w:lang w:eastAsia="zh-CN"/>
        </w:rPr>
        <w:t>）</w:t>
      </w:r>
      <w:r>
        <w:rPr>
          <w:rFonts w:hint="eastAsia" w:ascii="宋体" w:hAnsi="宋体"/>
          <w:color w:val="000000"/>
          <w:spacing w:val="6"/>
          <w:sz w:val="28"/>
          <w:szCs w:val="28"/>
        </w:rPr>
        <w:t>管道与设备、阀门、仪表之间宜采用法兰连接，采用螺纹连接时应确保连接强度和严密性</w:t>
      </w:r>
    </w:p>
    <w:p>
      <w:pPr>
        <w:adjustRightInd w:val="0"/>
        <w:snapToGrid w:val="0"/>
        <w:spacing w:line="360" w:lineRule="auto"/>
        <w:ind w:firstLine="600"/>
        <w:rPr>
          <w:rFonts w:hint="eastAsia" w:ascii="宋体" w:hAnsi="宋体" w:eastAsia="宋体"/>
          <w:color w:val="000000"/>
          <w:spacing w:val="6"/>
          <w:sz w:val="28"/>
          <w:szCs w:val="28"/>
          <w:lang w:eastAsia="zh-CN"/>
        </w:rPr>
      </w:pPr>
      <w:r>
        <w:rPr>
          <w:rFonts w:hint="eastAsia" w:ascii="宋体" w:hAnsi="宋体"/>
          <w:color w:val="000000"/>
          <w:spacing w:val="6"/>
          <w:sz w:val="28"/>
          <w:szCs w:val="28"/>
          <w:lang w:val="en-US" w:eastAsia="zh-CN"/>
        </w:rPr>
        <w:t>18、</w:t>
      </w:r>
      <w:r>
        <w:rPr>
          <w:rFonts w:hint="eastAsia" w:ascii="宋体" w:hAnsi="宋体"/>
          <w:color w:val="000000"/>
          <w:spacing w:val="6"/>
          <w:sz w:val="28"/>
          <w:szCs w:val="28"/>
        </w:rPr>
        <w:t>与储罐等设备连接的管道，应使其管系具有足够的柔性，并应满足设备管口的允许受力要求</w:t>
      </w:r>
      <w:r>
        <w:rPr>
          <w:rFonts w:hint="eastAsia" w:ascii="宋体" w:hAnsi="宋体"/>
          <w:color w:val="000000"/>
          <w:spacing w:val="6"/>
          <w:sz w:val="28"/>
          <w:szCs w:val="28"/>
          <w:lang w:eastAsia="zh-CN"/>
        </w:rPr>
        <w:t>。</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val="en-US" w:eastAsia="zh-CN"/>
        </w:rPr>
        <w:t>19、</w:t>
      </w:r>
      <w:r>
        <w:rPr>
          <w:rFonts w:hint="eastAsia" w:ascii="宋体" w:hAnsi="宋体"/>
          <w:color w:val="000000"/>
          <w:spacing w:val="6"/>
          <w:sz w:val="28"/>
          <w:szCs w:val="28"/>
        </w:rPr>
        <w:t>工艺管道上的阀门，应选用钢制阀门。选用的电动阀门或气动阀门应具有手动操作功能。公称直径小于或等于600mm的阀门，手动关闭阀门的时间不宜超过15min；公称直径大于600mm的阀门，手动关闭阀门的时间不宜超过20min。</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val="en-US" w:eastAsia="zh-CN"/>
        </w:rPr>
        <w:t>20、</w:t>
      </w:r>
      <w:r>
        <w:rPr>
          <w:rFonts w:hint="eastAsia" w:ascii="宋体" w:hAnsi="宋体"/>
          <w:color w:val="000000"/>
          <w:spacing w:val="6"/>
          <w:sz w:val="28"/>
          <w:szCs w:val="28"/>
        </w:rPr>
        <w:t>管道的防护应符合下列规定：</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eastAsia="zh-CN"/>
        </w:rPr>
        <w:t>（</w:t>
      </w:r>
      <w:r>
        <w:rPr>
          <w:rFonts w:hint="eastAsia" w:ascii="宋体" w:hAnsi="宋体"/>
          <w:color w:val="000000"/>
          <w:spacing w:val="6"/>
          <w:sz w:val="28"/>
          <w:szCs w:val="28"/>
          <w:lang w:val="en-US" w:eastAsia="zh-CN"/>
        </w:rPr>
        <w:t>1</w:t>
      </w:r>
      <w:r>
        <w:rPr>
          <w:rFonts w:hint="eastAsia" w:ascii="宋体" w:hAnsi="宋体"/>
          <w:color w:val="000000"/>
          <w:spacing w:val="6"/>
          <w:sz w:val="28"/>
          <w:szCs w:val="28"/>
          <w:lang w:eastAsia="zh-CN"/>
        </w:rPr>
        <w:t>）</w:t>
      </w:r>
      <w:r>
        <w:rPr>
          <w:rFonts w:hint="eastAsia" w:ascii="宋体" w:hAnsi="宋体"/>
          <w:color w:val="000000"/>
          <w:spacing w:val="6"/>
          <w:sz w:val="28"/>
          <w:szCs w:val="28"/>
        </w:rPr>
        <w:t>钢管及其附件的外表面，应涂刷防腐涂层，埋地钢管尚应采取防腐绝缘或其他防护措施。</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eastAsia="zh-CN"/>
        </w:rPr>
        <w:t>（</w:t>
      </w:r>
      <w:r>
        <w:rPr>
          <w:rFonts w:hint="eastAsia" w:ascii="宋体" w:hAnsi="宋体"/>
          <w:color w:val="000000"/>
          <w:spacing w:val="6"/>
          <w:sz w:val="28"/>
          <w:szCs w:val="28"/>
          <w:lang w:val="en-US" w:eastAsia="zh-CN"/>
        </w:rPr>
        <w:t>2</w:t>
      </w:r>
      <w:r>
        <w:rPr>
          <w:rFonts w:hint="eastAsia" w:ascii="宋体" w:hAnsi="宋体"/>
          <w:color w:val="000000"/>
          <w:spacing w:val="6"/>
          <w:sz w:val="28"/>
          <w:szCs w:val="28"/>
          <w:lang w:eastAsia="zh-CN"/>
        </w:rPr>
        <w:t>）</w:t>
      </w:r>
      <w:r>
        <w:rPr>
          <w:rFonts w:hint="eastAsia" w:ascii="宋体" w:hAnsi="宋体"/>
          <w:color w:val="000000"/>
          <w:spacing w:val="6"/>
          <w:sz w:val="28"/>
          <w:szCs w:val="28"/>
        </w:rPr>
        <w:t>管道内液体压力有超过管道设计压力可能的工艺管道，应在适当位置设置泄压装置。</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eastAsia="zh-CN"/>
        </w:rPr>
        <w:t>（</w:t>
      </w:r>
      <w:r>
        <w:rPr>
          <w:rFonts w:hint="eastAsia" w:ascii="宋体" w:hAnsi="宋体"/>
          <w:color w:val="000000"/>
          <w:spacing w:val="6"/>
          <w:sz w:val="28"/>
          <w:szCs w:val="28"/>
          <w:lang w:val="en-US" w:eastAsia="zh-CN"/>
        </w:rPr>
        <w:t>3</w:t>
      </w:r>
      <w:r>
        <w:rPr>
          <w:rFonts w:hint="eastAsia" w:ascii="宋体" w:hAnsi="宋体"/>
          <w:color w:val="000000"/>
          <w:spacing w:val="6"/>
          <w:sz w:val="28"/>
          <w:szCs w:val="28"/>
          <w:lang w:eastAsia="zh-CN"/>
        </w:rPr>
        <w:t>）</w:t>
      </w:r>
      <w:r>
        <w:rPr>
          <w:rFonts w:hint="eastAsia" w:ascii="宋体" w:hAnsi="宋体"/>
          <w:color w:val="000000"/>
          <w:spacing w:val="6"/>
          <w:sz w:val="28"/>
          <w:szCs w:val="28"/>
        </w:rPr>
        <w:t>输送易凝液体或易自聚液体的管道，应分别采取防凝或防自聚措施。</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val="en-US" w:eastAsia="zh-CN"/>
        </w:rPr>
        <w:t>21、</w:t>
      </w:r>
      <w:r>
        <w:rPr>
          <w:rFonts w:hint="eastAsia" w:ascii="宋体" w:hAnsi="宋体"/>
          <w:color w:val="000000"/>
          <w:spacing w:val="6"/>
          <w:sz w:val="28"/>
          <w:szCs w:val="28"/>
        </w:rPr>
        <w:t>石油库主要生产作业场所的配电电缆应采用铜芯电缆，并应采用直埋或电缆沟充砂敷设，局部地段确需在地面敷设的电缆应采用阻燃电缆。</w:t>
      </w:r>
    </w:p>
    <w:p>
      <w:pPr>
        <w:adjustRightInd w:val="0"/>
        <w:snapToGrid w:val="0"/>
        <w:spacing w:line="360" w:lineRule="auto"/>
        <w:ind w:firstLine="600"/>
        <w:rPr>
          <w:rFonts w:hint="eastAsia" w:ascii="宋体" w:hAnsi="宋体"/>
          <w:color w:val="000000"/>
          <w:spacing w:val="6"/>
          <w:sz w:val="28"/>
          <w:szCs w:val="28"/>
        </w:rPr>
      </w:pPr>
      <w:r>
        <w:rPr>
          <w:rFonts w:hint="eastAsia" w:ascii="宋体" w:hAnsi="宋体"/>
          <w:color w:val="000000"/>
          <w:spacing w:val="6"/>
          <w:sz w:val="28"/>
          <w:szCs w:val="28"/>
          <w:lang w:val="en-US" w:eastAsia="zh-CN"/>
        </w:rPr>
        <w:t>22、</w:t>
      </w:r>
      <w:r>
        <w:rPr>
          <w:rFonts w:hint="eastAsia" w:ascii="宋体" w:hAnsi="宋体"/>
          <w:color w:val="000000"/>
          <w:spacing w:val="6"/>
          <w:sz w:val="28"/>
          <w:szCs w:val="28"/>
        </w:rPr>
        <w:t>电缆不得与易燃和可燃液体管道、热力管道同沟敷设。</w:t>
      </w:r>
    </w:p>
    <w:p>
      <w:pPr>
        <w:adjustRightInd w:val="0"/>
        <w:snapToGrid w:val="0"/>
        <w:spacing w:line="360" w:lineRule="auto"/>
        <w:ind w:firstLine="600"/>
        <w:rPr>
          <w:rFonts w:hint="eastAsia" w:ascii="宋体" w:hAnsi="宋体"/>
          <w:color w:val="000000"/>
          <w:spacing w:val="6"/>
          <w:sz w:val="28"/>
          <w:szCs w:val="28"/>
          <w:lang w:val="en-US" w:eastAsia="zh-CN"/>
        </w:rPr>
      </w:pPr>
      <w:r>
        <w:rPr>
          <w:rFonts w:hint="eastAsia" w:ascii="宋体" w:hAnsi="宋体"/>
          <w:color w:val="000000"/>
          <w:spacing w:val="6"/>
          <w:sz w:val="28"/>
          <w:szCs w:val="28"/>
          <w:lang w:val="en-US" w:eastAsia="zh-CN"/>
        </w:rPr>
        <w:t>23、油库应设置泡沫灭火系统。</w:t>
      </w:r>
    </w:p>
    <w:p>
      <w:pPr>
        <w:adjustRightInd w:val="0"/>
        <w:snapToGrid w:val="0"/>
        <w:spacing w:line="360" w:lineRule="auto"/>
        <w:ind w:firstLine="600"/>
        <w:rPr>
          <w:rFonts w:hint="eastAsia" w:ascii="宋体" w:hAnsi="宋体"/>
          <w:color w:val="000000"/>
          <w:spacing w:val="6"/>
          <w:sz w:val="28"/>
          <w:szCs w:val="28"/>
          <w:lang w:val="en-US" w:eastAsia="zh-CN"/>
        </w:rPr>
      </w:pPr>
      <w:r>
        <w:rPr>
          <w:rFonts w:hint="eastAsia" w:ascii="宋体" w:hAnsi="宋体"/>
          <w:color w:val="000000"/>
          <w:spacing w:val="6"/>
          <w:sz w:val="28"/>
          <w:szCs w:val="28"/>
          <w:lang w:val="en-US" w:eastAsia="zh-CN"/>
        </w:rPr>
        <w:t>24、储罐泡沫灭火系统的设置类型，应符合下列规定：</w:t>
      </w:r>
    </w:p>
    <w:p>
      <w:pPr>
        <w:adjustRightInd w:val="0"/>
        <w:snapToGrid w:val="0"/>
        <w:spacing w:line="360" w:lineRule="auto"/>
        <w:ind w:firstLine="600"/>
        <w:rPr>
          <w:rFonts w:hint="eastAsia" w:ascii="宋体" w:hAnsi="宋体"/>
          <w:color w:val="000000"/>
          <w:spacing w:val="6"/>
          <w:sz w:val="28"/>
          <w:szCs w:val="28"/>
          <w:lang w:val="en-US" w:eastAsia="zh-CN"/>
        </w:rPr>
      </w:pPr>
      <w:r>
        <w:rPr>
          <w:rFonts w:hint="eastAsia" w:ascii="宋体" w:hAnsi="宋体"/>
          <w:color w:val="000000"/>
          <w:spacing w:val="6"/>
          <w:sz w:val="28"/>
          <w:szCs w:val="28"/>
          <w:lang w:val="en-US" w:eastAsia="zh-CN"/>
        </w:rPr>
        <w:t>1）地上固定顶储罐、内浮顶储罐和地上卧式储罐应设低倍数泡沫灭火系统或中倍数泡沫灭火系统。</w:t>
      </w:r>
    </w:p>
    <w:p>
      <w:pPr>
        <w:adjustRightInd w:val="0"/>
        <w:snapToGrid w:val="0"/>
        <w:spacing w:line="360" w:lineRule="auto"/>
        <w:ind w:firstLine="600"/>
        <w:rPr>
          <w:rFonts w:hint="eastAsia" w:ascii="宋体" w:hAnsi="宋体"/>
          <w:color w:val="000000"/>
          <w:spacing w:val="6"/>
          <w:sz w:val="28"/>
          <w:szCs w:val="28"/>
          <w:lang w:val="en-US" w:eastAsia="zh-CN"/>
        </w:rPr>
      </w:pPr>
      <w:r>
        <w:rPr>
          <w:rFonts w:hint="eastAsia" w:ascii="宋体" w:hAnsi="宋体"/>
          <w:color w:val="000000"/>
          <w:spacing w:val="6"/>
          <w:sz w:val="28"/>
          <w:szCs w:val="28"/>
          <w:lang w:val="en-US" w:eastAsia="zh-CN"/>
        </w:rPr>
        <w:t>2）外浮顶储罐、储存甲B、乙和丙A类油品的覆土立式油罐，应设低倍数泡沫灭火系统。</w:t>
      </w:r>
    </w:p>
    <w:p>
      <w:pPr>
        <w:adjustRightInd w:val="0"/>
        <w:snapToGrid w:val="0"/>
        <w:spacing w:line="360" w:lineRule="auto"/>
        <w:ind w:firstLine="600"/>
        <w:rPr>
          <w:rFonts w:hint="eastAsia" w:ascii="宋体" w:hAnsi="宋体"/>
          <w:color w:val="000000"/>
          <w:spacing w:val="6"/>
          <w:sz w:val="28"/>
          <w:szCs w:val="28"/>
          <w:lang w:val="en-US" w:eastAsia="zh-CN"/>
        </w:rPr>
      </w:pPr>
      <w:r>
        <w:rPr>
          <w:rFonts w:hint="eastAsia" w:ascii="宋体" w:hAnsi="宋体"/>
          <w:color w:val="000000"/>
          <w:spacing w:val="6"/>
          <w:sz w:val="28"/>
          <w:szCs w:val="28"/>
          <w:lang w:val="en-US" w:eastAsia="zh-CN"/>
        </w:rPr>
        <w:t>25、储罐的泡沫灭火系统设置方式，应符合下列规定：</w:t>
      </w:r>
    </w:p>
    <w:p>
      <w:pPr>
        <w:adjustRightInd w:val="0"/>
        <w:snapToGrid w:val="0"/>
        <w:spacing w:line="360" w:lineRule="auto"/>
        <w:ind w:firstLine="600"/>
        <w:rPr>
          <w:rFonts w:hint="eastAsia" w:ascii="宋体" w:hAnsi="宋体"/>
          <w:color w:val="000000"/>
          <w:spacing w:val="6"/>
          <w:sz w:val="28"/>
          <w:szCs w:val="28"/>
          <w:lang w:val="en-US" w:eastAsia="zh-CN"/>
        </w:rPr>
      </w:pPr>
      <w:r>
        <w:rPr>
          <w:rFonts w:hint="eastAsia" w:ascii="宋体" w:hAnsi="宋体"/>
          <w:color w:val="000000"/>
          <w:spacing w:val="6"/>
          <w:sz w:val="28"/>
          <w:szCs w:val="28"/>
          <w:lang w:val="en-US" w:eastAsia="zh-CN"/>
        </w:rPr>
        <w:t>1）容量大于500m³的水溶性液体地上立式储罐和容量大于1000m³的其他甲B、乙、丙A类易燃、可燃液体地上立式储罐，应采用固定式泡沫灭火系统。</w:t>
      </w:r>
    </w:p>
    <w:p>
      <w:pPr>
        <w:adjustRightInd w:val="0"/>
        <w:snapToGrid w:val="0"/>
        <w:spacing w:line="360" w:lineRule="auto"/>
        <w:ind w:firstLine="600"/>
        <w:rPr>
          <w:rFonts w:hint="eastAsia" w:ascii="宋体" w:hAnsi="宋体"/>
          <w:color w:val="000000"/>
          <w:spacing w:val="6"/>
          <w:sz w:val="28"/>
          <w:szCs w:val="28"/>
          <w:lang w:val="en-US" w:eastAsia="zh-CN"/>
        </w:rPr>
      </w:pPr>
      <w:r>
        <w:rPr>
          <w:rFonts w:hint="eastAsia" w:ascii="宋体" w:hAnsi="宋体"/>
          <w:color w:val="000000"/>
          <w:spacing w:val="6"/>
          <w:sz w:val="28"/>
          <w:szCs w:val="28"/>
          <w:lang w:val="en-US" w:eastAsia="zh-CN"/>
        </w:rPr>
        <w:t>2）容量小于或等于500m³的水溶性液体地上立式储罐和容量小于或等于1000m³的其他易燃、可燃液体地上立式储罐，可采用半固定式泡沫灭火系统。</w:t>
      </w:r>
    </w:p>
    <w:p>
      <w:pPr>
        <w:adjustRightInd w:val="0"/>
        <w:snapToGrid w:val="0"/>
        <w:spacing w:line="360" w:lineRule="auto"/>
        <w:ind w:firstLine="600"/>
        <w:rPr>
          <w:rFonts w:hint="default" w:ascii="宋体" w:hAnsi="宋体" w:eastAsia="宋体"/>
          <w:color w:val="000000"/>
          <w:spacing w:val="6"/>
          <w:sz w:val="28"/>
          <w:szCs w:val="28"/>
          <w:lang w:val="en-US" w:eastAsia="zh-CN"/>
        </w:rPr>
      </w:pPr>
      <w:r>
        <w:rPr>
          <w:rFonts w:hint="eastAsia" w:ascii="宋体" w:hAnsi="宋体"/>
          <w:color w:val="000000"/>
          <w:spacing w:val="6"/>
          <w:sz w:val="28"/>
          <w:szCs w:val="28"/>
          <w:lang w:val="en-US" w:eastAsia="zh-CN"/>
        </w:rPr>
        <w:t>3）地上卧式储罐、覆土立式油罐、丙B类液体立式储罐和容量不大于200m³的地上储罐，可采用移动式泡沫灭火系统。</w:t>
      </w:r>
    </w:p>
    <w:p>
      <w:pPr>
        <w:pStyle w:val="4"/>
        <w:adjustRightInd w:val="0"/>
        <w:snapToGrid w:val="0"/>
        <w:spacing w:before="0" w:after="0" w:line="360" w:lineRule="auto"/>
        <w:jc w:val="center"/>
        <w:rPr>
          <w:rFonts w:hint="eastAsia" w:ascii="楷体_GB2312" w:eastAsia="楷体_GB2312"/>
          <w:color w:val="000000"/>
        </w:rPr>
      </w:pPr>
      <w:bookmarkStart w:id="4" w:name="_Toc16886"/>
      <w:r>
        <w:rPr>
          <w:rFonts w:hint="eastAsia" w:ascii="楷体_GB2312" w:eastAsia="楷体_GB2312"/>
          <w:color w:val="000000"/>
        </w:rPr>
        <w:t>6.3主要设备（设施）的维护与保养</w:t>
      </w:r>
      <w:bookmarkEnd w:id="4"/>
    </w:p>
    <w:p>
      <w:pPr>
        <w:adjustRightInd w:val="0"/>
        <w:snapToGrid w:val="0"/>
        <w:spacing w:line="360" w:lineRule="auto"/>
        <w:ind w:firstLine="600"/>
        <w:rPr>
          <w:rFonts w:hint="eastAsia" w:ascii="宋体" w:hAnsi="宋体"/>
          <w:color w:val="000000"/>
          <w:sz w:val="28"/>
          <w:szCs w:val="28"/>
        </w:rPr>
      </w:pPr>
      <w:r>
        <w:rPr>
          <w:rFonts w:hint="eastAsia" w:ascii="宋体" w:hAnsi="宋体"/>
          <w:color w:val="000000"/>
          <w:sz w:val="28"/>
          <w:szCs w:val="28"/>
        </w:rPr>
        <w:t>1、应定期对设备和管道等的腐蚀状况进行检查和鉴定。经常检查储存物质的泄漏情况，对跑、冒、滴、漏现象及时消除。</w:t>
      </w:r>
    </w:p>
    <w:p>
      <w:pPr>
        <w:adjustRightInd w:val="0"/>
        <w:snapToGrid w:val="0"/>
        <w:spacing w:line="360" w:lineRule="auto"/>
        <w:ind w:firstLine="600"/>
        <w:rPr>
          <w:rFonts w:hint="eastAsia" w:ascii="宋体" w:hAnsi="宋体"/>
          <w:color w:val="000000"/>
          <w:sz w:val="28"/>
          <w:szCs w:val="28"/>
        </w:rPr>
      </w:pPr>
      <w:r>
        <w:rPr>
          <w:rFonts w:hint="eastAsia" w:ascii="宋体" w:hAnsi="宋体"/>
          <w:color w:val="000000"/>
          <w:sz w:val="28"/>
          <w:szCs w:val="28"/>
        </w:rPr>
        <w:t>2、对关键重点部位应有专人负责，定期巡检。</w:t>
      </w:r>
    </w:p>
    <w:p>
      <w:pPr>
        <w:adjustRightInd w:val="0"/>
        <w:snapToGrid w:val="0"/>
        <w:spacing w:line="360" w:lineRule="auto"/>
        <w:ind w:firstLine="600"/>
        <w:rPr>
          <w:rFonts w:hint="eastAsia" w:ascii="宋体" w:hAnsi="宋体"/>
          <w:color w:val="000000"/>
          <w:sz w:val="28"/>
          <w:szCs w:val="28"/>
        </w:rPr>
      </w:pPr>
      <w:r>
        <w:rPr>
          <w:rFonts w:hint="eastAsia" w:ascii="宋体" w:hAnsi="宋体"/>
          <w:color w:val="000000"/>
          <w:sz w:val="28"/>
          <w:szCs w:val="28"/>
        </w:rPr>
        <w:t>3、运行设备的安全附件应定期校验、检修，并作出记录。</w:t>
      </w:r>
    </w:p>
    <w:p>
      <w:pPr>
        <w:adjustRightInd w:val="0"/>
        <w:snapToGrid w:val="0"/>
        <w:spacing w:line="360" w:lineRule="auto"/>
        <w:ind w:firstLine="600"/>
        <w:rPr>
          <w:rFonts w:hint="eastAsia" w:ascii="宋体" w:hAnsi="宋体"/>
          <w:color w:val="000000"/>
          <w:sz w:val="28"/>
          <w:szCs w:val="28"/>
        </w:rPr>
      </w:pPr>
      <w:r>
        <w:rPr>
          <w:rFonts w:hint="eastAsia" w:ascii="宋体" w:hAnsi="宋体"/>
          <w:color w:val="000000"/>
          <w:sz w:val="28"/>
          <w:szCs w:val="28"/>
        </w:rPr>
        <w:t>4、设备仪表应定期维护检测、安全阀、压力表、可燃气体报警探头、电工绝缘工具应定期检测，并由资质部门出具检测报告。</w:t>
      </w:r>
    </w:p>
    <w:p>
      <w:pPr>
        <w:adjustRightInd w:val="0"/>
        <w:snapToGrid w:val="0"/>
        <w:spacing w:line="360" w:lineRule="auto"/>
        <w:ind w:firstLine="600"/>
        <w:rPr>
          <w:rFonts w:hint="eastAsia" w:ascii="宋体" w:hAnsi="宋体"/>
          <w:color w:val="000000"/>
          <w:sz w:val="28"/>
          <w:szCs w:val="28"/>
        </w:rPr>
      </w:pPr>
      <w:r>
        <w:rPr>
          <w:rFonts w:hint="eastAsia" w:ascii="宋体" w:hAnsi="宋体"/>
          <w:color w:val="000000"/>
          <w:sz w:val="28"/>
          <w:szCs w:val="28"/>
        </w:rPr>
        <w:t>5、安全联锁报警等设施要定期进行调试并做好记录。</w:t>
      </w:r>
    </w:p>
    <w:p>
      <w:pPr>
        <w:adjustRightInd w:val="0"/>
        <w:snapToGrid w:val="0"/>
        <w:spacing w:line="360" w:lineRule="auto"/>
        <w:ind w:firstLine="600"/>
        <w:rPr>
          <w:rFonts w:hint="eastAsia" w:ascii="宋体" w:hAnsi="宋体"/>
          <w:color w:val="000000"/>
          <w:sz w:val="28"/>
          <w:szCs w:val="28"/>
        </w:rPr>
      </w:pPr>
      <w:r>
        <w:rPr>
          <w:rFonts w:hint="eastAsia" w:ascii="宋体" w:hAnsi="宋体"/>
          <w:color w:val="000000"/>
          <w:sz w:val="28"/>
          <w:szCs w:val="28"/>
        </w:rPr>
        <w:t>6、设备设施防护罩、护栏等按规范设置并加强检查，同时应规范临时用电，严格执行《临时用电安全管理规定》。</w:t>
      </w:r>
    </w:p>
    <w:p>
      <w:pPr>
        <w:pStyle w:val="4"/>
        <w:adjustRightInd w:val="0"/>
        <w:snapToGrid w:val="0"/>
        <w:spacing w:before="0" w:after="0" w:line="360" w:lineRule="auto"/>
        <w:jc w:val="center"/>
        <w:rPr>
          <w:rFonts w:hint="eastAsia" w:ascii="楷体_GB2312" w:eastAsia="楷体_GB2312"/>
          <w:color w:val="000000"/>
        </w:rPr>
      </w:pPr>
      <w:bookmarkStart w:id="5" w:name="_Toc16637"/>
      <w:r>
        <w:rPr>
          <w:rFonts w:hint="eastAsia" w:ascii="楷体_GB2312" w:eastAsia="楷体_GB2312"/>
          <w:color w:val="000000"/>
        </w:rPr>
        <w:t>6.4项目建设期间的安全对策措施</w:t>
      </w:r>
      <w:bookmarkEnd w:id="5"/>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1</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建设项目的施工与安装应由具有相应资质的单位进行。</w:t>
      </w:r>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在项目建设施工过程中，企业与施工单位签订责任书，明确双方的责任，加强双方的责任，加强与施工单位的联系，保证施工安全。</w:t>
      </w:r>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2</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建设单位应对进入建设工地的所有人员和车辆进行全面安全管理，防止意外事故发生。</w:t>
      </w:r>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3</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工程项目建设期间，夜间施工时，应有良好的照明设施，坑、井、洼、沟等应铺设与地面平齐的盖板或设置围栏和警示信号灯。</w:t>
      </w:r>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4</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建设工地上，机具、材料等应按指定地点存放，并堆放整齐，不得影响安全和交通。</w:t>
      </w:r>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5</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施工人员进入现场应穿戴好安全帽、工作服和必要的防护用品，禁止无关人员进入施工现场；提倡文明施工，保持施工环境整洁。</w:t>
      </w:r>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6</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施工现场使用的各类气瓶应配有瓶帽和防震圈，禁止敲击、碰撞、曝晒和卧放气瓶，使用气瓶应严格遵守国家有关标准、规范的要求。</w:t>
      </w:r>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7</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施工现场人员高处作业时应系好安全带，戴好安全帽，遇六级以上大风或暴雨、雷电时，应停止高处作业；施工现场有发生高处坠落危险的地方（如预留洞口、深沟、框架平台等），应设置牢固的盖板、防护围栏，并有明显的安全标志，夜间应设置警示信号灯。</w:t>
      </w:r>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8</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企业应当组织承包商，根据作业活动情况选择适用的辨识分析方法，对作业现场和作业过程中可能存在的危险有害因素进行辨识，开展作业危害分析。</w:t>
      </w:r>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9</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企业应当组织承包商，根据风险分析的结果，从工程技术、管理、培训教育、个体防护和应急处置等方面，制定相应的安全风险管控措施。</w:t>
      </w:r>
    </w:p>
    <w:p>
      <w:pPr>
        <w:pStyle w:val="17"/>
        <w:widowControl w:val="0"/>
        <w:adjustRightInd w:val="0"/>
        <w:snapToGrid w:val="0"/>
        <w:spacing w:line="360" w:lineRule="auto"/>
        <w:ind w:firstLine="584"/>
        <w:rPr>
          <w:rFonts w:hint="eastAsia" w:ascii="宋体" w:hAnsi="宋体"/>
          <w:color w:val="000000"/>
          <w:spacing w:val="6"/>
          <w:kern w:val="28"/>
          <w:szCs w:val="28"/>
        </w:rPr>
      </w:pPr>
      <w:r>
        <w:rPr>
          <w:rFonts w:hint="eastAsia" w:ascii="宋体" w:hAnsi="宋体"/>
          <w:color w:val="000000"/>
          <w:spacing w:val="6"/>
          <w:kern w:val="28"/>
          <w:szCs w:val="28"/>
        </w:rPr>
        <w:t>10</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企业应建立健全承包商安全管理制度，明确承包商管理的主管部门及职责，以及承包商管控程序、选择、安全生产管理协议、入厂（场）管理、开工准备、作业安全、考核、评估、续用、合格承包商名录和档案等，全程监管承包商在企业的活动，对承包商安全工作统一协调、管理。</w:t>
      </w:r>
    </w:p>
    <w:p>
      <w:pPr>
        <w:pStyle w:val="17"/>
        <w:widowControl w:val="0"/>
        <w:adjustRightInd w:val="0"/>
        <w:snapToGrid w:val="0"/>
        <w:spacing w:line="360" w:lineRule="auto"/>
        <w:ind w:firstLine="584"/>
        <w:rPr>
          <w:rFonts w:ascii="宋体"/>
          <w:snapToGrid w:val="0"/>
          <w:color w:val="000000"/>
        </w:rPr>
      </w:pPr>
      <w:r>
        <w:rPr>
          <w:rFonts w:hint="eastAsia" w:ascii="宋体" w:hAnsi="宋体"/>
          <w:color w:val="000000"/>
          <w:spacing w:val="6"/>
          <w:kern w:val="28"/>
          <w:szCs w:val="28"/>
        </w:rPr>
        <w:t>11</w:t>
      </w:r>
      <w:r>
        <w:rPr>
          <w:rFonts w:hint="eastAsia" w:ascii="宋体" w:hAnsi="宋体" w:eastAsia="宋体"/>
          <w:color w:val="000000"/>
          <w:spacing w:val="6"/>
          <w:kern w:val="28"/>
          <w:szCs w:val="28"/>
          <w:lang w:eastAsia="zh-CN"/>
        </w:rPr>
        <w:t>、</w:t>
      </w:r>
      <w:r>
        <w:rPr>
          <w:rFonts w:hint="eastAsia" w:ascii="宋体" w:hAnsi="宋体"/>
          <w:color w:val="000000"/>
          <w:spacing w:val="6"/>
          <w:kern w:val="28"/>
          <w:szCs w:val="28"/>
        </w:rPr>
        <w:t>企业应当对承包商人员进行入厂安全教育及作业现场安全培训，并考核合格，建立安全培训台账</w:t>
      </w:r>
      <w:r>
        <w:rPr>
          <w:rFonts w:ascii="宋体"/>
          <w:snapToGrid w:val="0"/>
          <w:color w:val="000000"/>
        </w:rPr>
        <w:t>。</w:t>
      </w:r>
    </w:p>
    <w:p>
      <w:pPr>
        <w:pStyle w:val="4"/>
        <w:adjustRightInd w:val="0"/>
        <w:snapToGrid w:val="0"/>
        <w:spacing w:before="0" w:after="0" w:line="360" w:lineRule="auto"/>
        <w:jc w:val="center"/>
        <w:rPr>
          <w:rFonts w:hint="eastAsia" w:ascii="楷体_GB2312" w:eastAsia="楷体_GB2312"/>
          <w:color w:val="000000"/>
        </w:rPr>
      </w:pPr>
      <w:bookmarkStart w:id="6" w:name="_Toc24893"/>
      <w:r>
        <w:rPr>
          <w:rFonts w:hint="eastAsia" w:ascii="楷体_GB2312" w:eastAsia="楷体_GB2312"/>
          <w:color w:val="000000"/>
        </w:rPr>
        <w:t>6.5隐患排查治理</w:t>
      </w:r>
      <w:bookmarkEnd w:id="6"/>
    </w:p>
    <w:p>
      <w:pPr>
        <w:pStyle w:val="17"/>
        <w:widowControl w:val="0"/>
        <w:numPr>
          <w:ilvl w:val="0"/>
          <w:numId w:val="1"/>
        </w:numPr>
        <w:adjustRightInd w:val="0"/>
        <w:snapToGrid w:val="0"/>
        <w:spacing w:line="360" w:lineRule="auto"/>
        <w:ind w:firstLine="560"/>
        <w:rPr>
          <w:rFonts w:hint="eastAsia" w:ascii="宋体" w:eastAsia="宋体"/>
          <w:snapToGrid w:val="0"/>
          <w:color w:val="000000"/>
        </w:rPr>
      </w:pPr>
      <w:r>
        <w:rPr>
          <w:rFonts w:hint="eastAsia" w:ascii="宋体" w:eastAsia="宋体"/>
          <w:snapToGrid w:val="0"/>
          <w:color w:val="000000"/>
        </w:rPr>
        <w:t>按照隐患排查治理制度要求，对排查出的问题落实整改及相关措施。</w:t>
      </w:r>
    </w:p>
    <w:p>
      <w:pPr>
        <w:pStyle w:val="17"/>
        <w:widowControl w:val="0"/>
        <w:numPr>
          <w:ilvl w:val="0"/>
          <w:numId w:val="1"/>
        </w:numPr>
        <w:adjustRightInd w:val="0"/>
        <w:snapToGrid w:val="0"/>
        <w:spacing w:line="360" w:lineRule="auto"/>
        <w:ind w:firstLine="560"/>
        <w:rPr>
          <w:rFonts w:hint="eastAsia" w:ascii="宋体" w:eastAsia="宋体"/>
          <w:snapToGrid w:val="0"/>
          <w:color w:val="000000"/>
        </w:rPr>
      </w:pPr>
      <w:r>
        <w:rPr>
          <w:rFonts w:hint="eastAsia" w:ascii="宋体" w:eastAsia="宋体"/>
          <w:snapToGrid w:val="0"/>
          <w:color w:val="000000"/>
        </w:rPr>
        <w:t>按照《山东省人民政府安全生产委员会关于加强企业安全生产诊断工作的实施意见》鲁安发〔2022〕2号的要求至少每半年对本单位重大危险源、重点装置设施和关键环节等高风险单元进行一次全面诊断。</w:t>
      </w:r>
    </w:p>
    <w:p>
      <w:pPr>
        <w:pStyle w:val="4"/>
        <w:adjustRightInd w:val="0"/>
        <w:snapToGrid w:val="0"/>
        <w:spacing w:before="0" w:after="0" w:line="360" w:lineRule="auto"/>
        <w:jc w:val="center"/>
        <w:rPr>
          <w:rFonts w:hint="eastAsia" w:ascii="楷体_GB2312" w:eastAsia="楷体_GB2312"/>
          <w:color w:val="000000"/>
        </w:rPr>
      </w:pPr>
      <w:bookmarkStart w:id="7" w:name="_Toc27507"/>
      <w:r>
        <w:rPr>
          <w:rFonts w:hint="eastAsia" w:ascii="楷体_GB2312" w:eastAsia="楷体_GB2312"/>
          <w:color w:val="000000"/>
        </w:rPr>
        <w:t>6.6应急预案</w:t>
      </w:r>
      <w:bookmarkEnd w:id="7"/>
    </w:p>
    <w:p>
      <w:pPr>
        <w:pStyle w:val="17"/>
        <w:widowControl w:val="0"/>
        <w:adjustRightInd w:val="0"/>
        <w:snapToGrid w:val="0"/>
        <w:spacing w:line="360" w:lineRule="auto"/>
        <w:ind w:firstLine="560"/>
        <w:rPr>
          <w:rFonts w:hint="eastAsia" w:ascii="宋体" w:eastAsia="宋体"/>
          <w:snapToGrid w:val="0"/>
          <w:color w:val="000000"/>
        </w:rPr>
      </w:pPr>
      <w:r>
        <w:rPr>
          <w:rFonts w:hint="eastAsia" w:ascii="宋体" w:eastAsia="宋体"/>
          <w:snapToGrid w:val="0"/>
          <w:color w:val="000000"/>
        </w:rPr>
        <w:t>1、有下列情形之一的，应根据《生产安全事故应急条例》（中华人民共和国国务院令第708号）的要求，及时修订相关预案：</w:t>
      </w:r>
    </w:p>
    <w:p>
      <w:pPr>
        <w:pStyle w:val="17"/>
        <w:widowControl w:val="0"/>
        <w:adjustRightInd w:val="0"/>
        <w:snapToGrid w:val="0"/>
        <w:spacing w:line="360" w:lineRule="auto"/>
        <w:ind w:firstLine="560"/>
        <w:rPr>
          <w:rFonts w:hint="eastAsia" w:ascii="宋体" w:eastAsia="宋体"/>
          <w:snapToGrid w:val="0"/>
          <w:color w:val="000000"/>
        </w:rPr>
      </w:pPr>
      <w:r>
        <w:rPr>
          <w:rFonts w:hint="eastAsia" w:ascii="宋体" w:eastAsia="宋体"/>
          <w:snapToGrid w:val="0"/>
          <w:color w:val="000000"/>
        </w:rPr>
        <w:t>1）制定预案所依据的法律、法规、规章、标准发生重大变化；</w:t>
      </w:r>
    </w:p>
    <w:p>
      <w:pPr>
        <w:pStyle w:val="17"/>
        <w:widowControl w:val="0"/>
        <w:adjustRightInd w:val="0"/>
        <w:snapToGrid w:val="0"/>
        <w:spacing w:line="360" w:lineRule="auto"/>
        <w:ind w:firstLine="560"/>
        <w:rPr>
          <w:rFonts w:hint="eastAsia" w:ascii="宋体" w:eastAsia="宋体"/>
          <w:snapToGrid w:val="0"/>
          <w:color w:val="000000"/>
        </w:rPr>
      </w:pPr>
      <w:r>
        <w:rPr>
          <w:rFonts w:hint="eastAsia" w:ascii="宋体" w:eastAsia="宋体"/>
          <w:snapToGrid w:val="0"/>
          <w:color w:val="000000"/>
        </w:rPr>
        <w:t>2）应急指挥机构及其职责发生调整；</w:t>
      </w:r>
    </w:p>
    <w:p>
      <w:pPr>
        <w:pStyle w:val="17"/>
        <w:widowControl w:val="0"/>
        <w:adjustRightInd w:val="0"/>
        <w:snapToGrid w:val="0"/>
        <w:spacing w:line="360" w:lineRule="auto"/>
        <w:ind w:firstLine="560"/>
        <w:rPr>
          <w:rFonts w:hint="eastAsia" w:ascii="宋体" w:eastAsia="宋体"/>
          <w:snapToGrid w:val="0"/>
          <w:color w:val="000000"/>
        </w:rPr>
      </w:pPr>
      <w:r>
        <w:rPr>
          <w:rFonts w:hint="eastAsia" w:ascii="宋体" w:eastAsia="宋体"/>
          <w:snapToGrid w:val="0"/>
          <w:color w:val="000000"/>
        </w:rPr>
        <w:t>3）安全生产面临的风险发生重大变化；</w:t>
      </w:r>
    </w:p>
    <w:p>
      <w:pPr>
        <w:pStyle w:val="17"/>
        <w:widowControl w:val="0"/>
        <w:adjustRightInd w:val="0"/>
        <w:snapToGrid w:val="0"/>
        <w:spacing w:line="360" w:lineRule="auto"/>
        <w:ind w:firstLine="560"/>
        <w:rPr>
          <w:rFonts w:hint="eastAsia" w:ascii="宋体" w:eastAsia="宋体"/>
          <w:snapToGrid w:val="0"/>
          <w:color w:val="000000"/>
        </w:rPr>
      </w:pPr>
      <w:r>
        <w:rPr>
          <w:rFonts w:hint="eastAsia" w:ascii="宋体" w:eastAsia="宋体"/>
          <w:snapToGrid w:val="0"/>
          <w:color w:val="000000"/>
        </w:rPr>
        <w:t>4）重要应急资源发生重大变化；</w:t>
      </w:r>
    </w:p>
    <w:p>
      <w:pPr>
        <w:pStyle w:val="17"/>
        <w:widowControl w:val="0"/>
        <w:adjustRightInd w:val="0"/>
        <w:snapToGrid w:val="0"/>
        <w:spacing w:line="360" w:lineRule="auto"/>
        <w:ind w:firstLine="560"/>
        <w:rPr>
          <w:rFonts w:hint="eastAsia" w:ascii="宋体" w:eastAsia="宋体"/>
          <w:snapToGrid w:val="0"/>
          <w:color w:val="000000"/>
        </w:rPr>
      </w:pPr>
      <w:r>
        <w:rPr>
          <w:rFonts w:hint="eastAsia" w:ascii="宋体" w:eastAsia="宋体"/>
          <w:snapToGrid w:val="0"/>
          <w:color w:val="000000"/>
        </w:rPr>
        <w:t>5）在预案演练或者应急救援中发现需要修订预案的重大问题；</w:t>
      </w:r>
    </w:p>
    <w:p>
      <w:pPr>
        <w:pStyle w:val="17"/>
        <w:widowControl w:val="0"/>
        <w:adjustRightInd w:val="0"/>
        <w:snapToGrid w:val="0"/>
        <w:spacing w:line="360" w:lineRule="auto"/>
        <w:ind w:firstLine="560"/>
        <w:rPr>
          <w:rFonts w:hint="eastAsia" w:ascii="宋体" w:eastAsia="宋体"/>
          <w:snapToGrid w:val="0"/>
          <w:color w:val="000000"/>
        </w:rPr>
      </w:pPr>
      <w:r>
        <w:rPr>
          <w:rFonts w:hint="eastAsia" w:ascii="宋体" w:eastAsia="宋体"/>
          <w:snapToGrid w:val="0"/>
          <w:color w:val="000000"/>
        </w:rPr>
        <w:t>6）其他应当修订的情形。</w:t>
      </w:r>
    </w:p>
    <w:p>
      <w:pPr>
        <w:pStyle w:val="17"/>
        <w:widowControl w:val="0"/>
        <w:adjustRightInd w:val="0"/>
        <w:snapToGrid w:val="0"/>
        <w:spacing w:line="360" w:lineRule="auto"/>
        <w:ind w:firstLine="560"/>
        <w:rPr>
          <w:rFonts w:hint="eastAsia" w:ascii="宋体" w:eastAsia="宋体"/>
          <w:snapToGrid w:val="0"/>
          <w:color w:val="000000"/>
        </w:rPr>
      </w:pPr>
      <w:r>
        <w:rPr>
          <w:rFonts w:hint="eastAsia" w:ascii="宋体" w:eastAsia="宋体"/>
          <w:snapToGrid w:val="0"/>
          <w:color w:val="000000"/>
        </w:rPr>
        <w:t>2、公司应根据《山东省生产安全事故应急办法》的规定制定应急预案演练计划。应当每半年至少组织1次综合或者专项应急预案演练，每2年对所有专项应急预案至少组织1次演练，每半年对所有现场处置方案至少组织1次演练。</w:t>
      </w:r>
    </w:p>
    <w:p>
      <w:pPr>
        <w:rPr>
          <w:rFonts w:hint="eastAsia" w:ascii="宋体" w:eastAsia="宋体"/>
          <w:snapToGrid w:val="0"/>
          <w:color w:val="000000"/>
        </w:rPr>
      </w:pPr>
      <w:r>
        <w:rPr>
          <w:rFonts w:hint="eastAsia" w:ascii="宋体" w:eastAsia="宋体"/>
          <w:snapToGrid w:val="0"/>
          <w:color w:val="000000"/>
        </w:rPr>
        <w:br w:type="page"/>
      </w:r>
    </w:p>
    <w:p>
      <w:pPr>
        <w:pStyle w:val="17"/>
        <w:widowControl w:val="0"/>
        <w:adjustRightInd w:val="0"/>
        <w:snapToGrid w:val="0"/>
        <w:spacing w:line="360" w:lineRule="auto"/>
        <w:ind w:left="0" w:leftChars="0" w:firstLine="0" w:firstLineChars="0"/>
        <w:rPr>
          <w:rFonts w:hint="default"/>
          <w:lang w:val="en-US" w:eastAsia="zh-CN"/>
        </w:rPr>
      </w:pPr>
      <w:r>
        <w:rPr>
          <w:rFonts w:hint="default"/>
          <w:lang w:val="en-US" w:eastAsia="zh-CN"/>
        </w:rPr>
        <w:drawing>
          <wp:inline distT="0" distB="0" distL="114300" distR="114300">
            <wp:extent cx="5753100" cy="8338820"/>
            <wp:effectExtent l="0" t="0" r="0" b="5080"/>
            <wp:docPr id="10" name="图片 10" descr="封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封二（章）"/>
                    <pic:cNvPicPr>
                      <a:picLocks noChangeAspect="1"/>
                    </pic:cNvPicPr>
                  </pic:nvPicPr>
                  <pic:blipFill>
                    <a:blip r:embed="rId6"/>
                    <a:stretch>
                      <a:fillRect/>
                    </a:stretch>
                  </pic:blipFill>
                  <pic:spPr>
                    <a:xfrm>
                      <a:off x="0" y="0"/>
                      <a:ext cx="5753100" cy="8338820"/>
                    </a:xfrm>
                    <a:prstGeom prst="rect">
                      <a:avLst/>
                    </a:prstGeom>
                  </pic:spPr>
                </pic:pic>
              </a:graphicData>
            </a:graphic>
          </wp:inline>
        </w:drawing>
      </w:r>
    </w:p>
    <w:p>
      <w:pPr>
        <w:pStyle w:val="2"/>
        <w:spacing w:line="240" w:lineRule="auto"/>
        <w:ind w:left="0" w:leftChars="0" w:firstLine="0" w:firstLineChars="0"/>
        <w:rPr>
          <w:rFonts w:hint="default"/>
          <w:lang w:val="en-US" w:eastAsia="zh-CN"/>
        </w:rPr>
      </w:pPr>
      <w:r>
        <w:rPr>
          <w:rFonts w:hint="default"/>
          <w:lang w:val="en-US" w:eastAsia="zh-CN"/>
        </w:rPr>
        <w:drawing>
          <wp:inline distT="0" distB="0" distL="114300" distR="114300">
            <wp:extent cx="8905875" cy="5513705"/>
            <wp:effectExtent l="0" t="0" r="10795" b="9525"/>
            <wp:docPr id="9" name="图片 9" descr="结论（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结论（章）"/>
                    <pic:cNvPicPr>
                      <a:picLocks noChangeAspect="1"/>
                    </pic:cNvPicPr>
                  </pic:nvPicPr>
                  <pic:blipFill>
                    <a:blip r:embed="rId7"/>
                    <a:stretch>
                      <a:fillRect/>
                    </a:stretch>
                  </pic:blipFill>
                  <pic:spPr>
                    <a:xfrm rot="5400000">
                      <a:off x="0" y="0"/>
                      <a:ext cx="8905875" cy="5513705"/>
                    </a:xfrm>
                    <a:prstGeom prst="rect">
                      <a:avLst/>
                    </a:prstGeom>
                  </pic:spPr>
                </pic:pic>
              </a:graphicData>
            </a:graphic>
          </wp:inline>
        </w:drawing>
      </w:r>
      <w:bookmarkStart w:id="8" w:name="_GoBack"/>
      <w:bookmarkEnd w:id="8"/>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966A4"/>
    <w:multiLevelType w:val="singleLevel"/>
    <w:tmpl w:val="B16966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3CC63D7"/>
    <w:rsid w:val="09D5345C"/>
    <w:rsid w:val="0A27015B"/>
    <w:rsid w:val="0BD51C61"/>
    <w:rsid w:val="0EDC1223"/>
    <w:rsid w:val="13D12EE6"/>
    <w:rsid w:val="153C4810"/>
    <w:rsid w:val="16BC1C2B"/>
    <w:rsid w:val="1E1E483E"/>
    <w:rsid w:val="22CB7136"/>
    <w:rsid w:val="26D000E5"/>
    <w:rsid w:val="284F788D"/>
    <w:rsid w:val="2A9D36CA"/>
    <w:rsid w:val="2EC41433"/>
    <w:rsid w:val="355F439E"/>
    <w:rsid w:val="35CC29B8"/>
    <w:rsid w:val="3BB85D78"/>
    <w:rsid w:val="420C1409"/>
    <w:rsid w:val="4706325F"/>
    <w:rsid w:val="48FE4AE5"/>
    <w:rsid w:val="537F016A"/>
    <w:rsid w:val="563D798B"/>
    <w:rsid w:val="567C6788"/>
    <w:rsid w:val="579A241E"/>
    <w:rsid w:val="6AD40467"/>
    <w:rsid w:val="6BF95CAB"/>
    <w:rsid w:val="6D0669CA"/>
    <w:rsid w:val="717A11AE"/>
    <w:rsid w:val="72FD2CFB"/>
    <w:rsid w:val="7772596D"/>
    <w:rsid w:val="7AB0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tabs>
        <w:tab w:val="left" w:pos="2160"/>
      </w:tabs>
      <w:adjustRightInd w:val="0"/>
      <w:spacing w:before="360" w:beforeLines="0" w:after="240" w:afterLines="0" w:line="360" w:lineRule="auto"/>
      <w:ind w:left="1800"/>
      <w:jc w:val="center"/>
      <w:textAlignment w:val="baseline"/>
      <w:outlineLvl w:val="0"/>
    </w:pPr>
    <w:rPr>
      <w:b/>
      <w:kern w:val="44"/>
      <w:sz w:val="44"/>
      <w:szCs w:val="20"/>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Normal Indent"/>
    <w:basedOn w:val="1"/>
    <w:autoRedefine/>
    <w:qFormat/>
    <w:uiPriority w:val="99"/>
    <w:pPr>
      <w:ind w:firstLine="420"/>
    </w:pPr>
  </w:style>
  <w:style w:type="paragraph" w:styleId="6">
    <w:name w:val="caption"/>
    <w:basedOn w:val="1"/>
    <w:next w:val="1"/>
    <w:qFormat/>
    <w:uiPriority w:val="0"/>
    <w:rPr>
      <w:rFonts w:ascii="Arial" w:hAnsi="Arial" w:eastAsia="黑体"/>
      <w:sz w:val="20"/>
    </w:rPr>
  </w:style>
  <w:style w:type="paragraph" w:styleId="7">
    <w:name w:val="annotation text"/>
    <w:basedOn w:val="1"/>
    <w:qFormat/>
    <w:uiPriority w:val="99"/>
    <w:pPr>
      <w:jc w:val="left"/>
    </w:pPr>
  </w:style>
  <w:style w:type="paragraph" w:styleId="8">
    <w:name w:val="Plain Text"/>
    <w:basedOn w:val="1"/>
    <w:autoRedefine/>
    <w:unhideWhenUsed/>
    <w:qFormat/>
    <w:uiPriority w:val="99"/>
    <w:rPr>
      <w:rFonts w:ascii="宋体" w:hAnsi="Courier New"/>
      <w:kern w:val="0"/>
      <w:sz w:val="20"/>
      <w:szCs w:val="20"/>
    </w:rPr>
  </w:style>
  <w:style w:type="paragraph" w:styleId="9">
    <w:name w:val="Body Text Indent 2"/>
    <w:basedOn w:val="1"/>
    <w:uiPriority w:val="0"/>
    <w:pPr>
      <w:spacing w:line="360" w:lineRule="auto"/>
      <w:ind w:firstLine="504" w:firstLineChars="200"/>
    </w:pPr>
    <w:rPr>
      <w:rFonts w:ascii="宋体" w:hAnsi="宋体"/>
      <w:bCs/>
      <w:color w:val="FF0000"/>
      <w:spacing w:val="6"/>
      <w:sz w:val="24"/>
    </w:rPr>
  </w:style>
  <w:style w:type="paragraph" w:styleId="10">
    <w:name w:val="Body Text First Indent"/>
    <w:basedOn w:val="2"/>
    <w:qFormat/>
    <w:uiPriority w:val="0"/>
    <w:pPr>
      <w:ind w:firstLine="420" w:firstLineChars="100"/>
    </w:pPr>
  </w:style>
  <w:style w:type="paragraph" w:customStyle="1" w:styleId="13">
    <w:name w:val="111"/>
    <w:basedOn w:val="14"/>
    <w:autoRedefine/>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autoRedefine/>
    <w:qFormat/>
    <w:uiPriority w:val="0"/>
    <w:pPr>
      <w:jc w:val="center"/>
      <w:outlineLvl w:val="0"/>
    </w:pPr>
    <w:rPr>
      <w:rFonts w:ascii="黑体" w:hAnsi="黑体" w:eastAsia="黑体"/>
      <w:sz w:val="32"/>
      <w:szCs w:val="32"/>
    </w:rPr>
  </w:style>
  <w:style w:type="paragraph" w:customStyle="1" w:styleId="15">
    <w:name w:val="Table Text"/>
    <w:basedOn w:val="1"/>
    <w:autoRedefine/>
    <w:semiHidden/>
    <w:qFormat/>
    <w:uiPriority w:val="0"/>
    <w:rPr>
      <w:rFonts w:ascii="宋体" w:hAnsi="宋体" w:eastAsia="宋体" w:cs="宋体"/>
      <w:sz w:val="20"/>
      <w:szCs w:val="20"/>
      <w:lang w:val="en-US" w:eastAsia="en-US"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autoRedefine/>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autoRedefine/>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autoRedefine/>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autoRedefine/>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8"/>
    <w:autoRedefine/>
    <w:qFormat/>
    <w:uiPriority w:val="0"/>
    <w:pPr>
      <w:spacing w:line="320" w:lineRule="exact"/>
      <w:jc w:val="center"/>
    </w:pPr>
    <w:rPr>
      <w:rFonts w:ascii="Times New Roman" w:hAnsi="Times New Roman"/>
      <w:kern w:val="2"/>
      <w:sz w:val="21"/>
      <w:szCs w:val="21"/>
      <w:u w:color="000000"/>
    </w:rPr>
  </w:style>
  <w:style w:type="paragraph" w:customStyle="1" w:styleId="24">
    <w:name w:val="永安样式表格"/>
    <w:basedOn w:val="6"/>
    <w:autoRedefine/>
    <w:qFormat/>
    <w:uiPriority w:val="0"/>
    <w:pPr>
      <w:widowControl w:val="0"/>
      <w:adjustRightInd w:val="0"/>
      <w:snapToGrid w:val="0"/>
      <w:spacing w:line="520" w:lineRule="exact"/>
      <w:jc w:val="center"/>
    </w:pPr>
    <w:rPr>
      <w:rFonts w:ascii="黑体" w:hAnsi="黑体"/>
      <w:b/>
      <w:snapToGrid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575</Words>
  <Characters>656</Characters>
  <Lines>0</Lines>
  <Paragraphs>0</Paragraphs>
  <TotalTime>5</TotalTime>
  <ScaleCrop>false</ScaleCrop>
  <LinksUpToDate>false</LinksUpToDate>
  <CharactersWithSpaces>664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cp:lastModifiedBy>
  <dcterms:modified xsi:type="dcterms:W3CDTF">2024-04-28T02:59:49Z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158E41C4130D45F7BB2A42425FB8946B_11</vt:lpwstr>
  </property>
</Properties>
</file>