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江西海容新材料有限公司年产10万吨锂钠离子电解液生产项目安全预评价报告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2024年</w:t>
            </w:r>
            <w:r>
              <w:rPr>
                <w:rFonts w:hint="eastAsia" w:ascii="宋体" w:hAnsi="宋体" w:cs="宋体"/>
                <w:sz w:val="24"/>
                <w:lang w:val="en-US" w:eastAsia="zh-CN"/>
              </w:rPr>
              <w:t>8</w:t>
            </w:r>
            <w:r>
              <w:rPr>
                <w:rFonts w:hint="eastAsia" w:ascii="宋体" w:hAnsi="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ascii="Times New Roman" w:hAnsi="Times New Roman"/>
                <w:sz w:val="24"/>
              </w:rPr>
            </w:pPr>
            <w:r>
              <w:rPr>
                <w:rFonts w:hint="eastAsia" w:cs="Times New Roman"/>
                <w:sz w:val="24"/>
                <w:lang w:val="en-US" w:eastAsia="zh-CN"/>
              </w:rPr>
              <w:t>熊克书</w:t>
            </w:r>
          </w:p>
        </w:tc>
        <w:tc>
          <w:tcPr>
            <w:tcW w:w="4803"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4"/>
              </w:rPr>
            </w:pPr>
            <w:r>
              <w:rPr>
                <w:rFonts w:hint="default" w:ascii="Times New Roman" w:hAnsi="Times New Roman" w:eastAsia="宋体" w:cs="Times New Roman"/>
                <w:sz w:val="24"/>
              </w:rPr>
              <w:t>S011035000110192</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sz w:val="24"/>
              </w:rPr>
            </w:pPr>
            <w:r>
              <w:rPr>
                <w:rFonts w:hint="default" w:ascii="Times New Roman" w:hAnsi="Times New Roman" w:eastAsia="宋体" w:cs="Times New Roman"/>
                <w:sz w:val="24"/>
              </w:rPr>
              <w:t>001546</w:t>
            </w:r>
          </w:p>
        </w:tc>
        <w:tc>
          <w:tcPr>
            <w:tcW w:w="2115"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sz w:val="24"/>
              </w:rPr>
            </w:pPr>
            <w:r>
              <w:rPr>
                <w:rFonts w:hint="default"/>
                <w:sz w:val="24"/>
              </w:rPr>
              <w:t>027024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ascii="Times New Roman" w:hAnsi="Times New Roman"/>
                <w:sz w:val="24"/>
              </w:rPr>
            </w:pPr>
            <w:r>
              <w:rPr>
                <w:rFonts w:hint="eastAsia" w:cs="Times New Roman"/>
                <w:sz w:val="24"/>
                <w:lang w:val="en-US" w:eastAsia="zh-CN"/>
              </w:rPr>
              <w:t>谢雨飞</w:t>
            </w:r>
          </w:p>
        </w:tc>
        <w:tc>
          <w:tcPr>
            <w:tcW w:w="4803"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4"/>
              </w:rPr>
            </w:pPr>
            <w:r>
              <w:rPr>
                <w:rFonts w:hint="default" w:ascii="Times New Roman" w:hAnsi="Times New Roman" w:eastAsia="宋体" w:cs="Times New Roman"/>
                <w:sz w:val="24"/>
              </w:rPr>
              <w:t>CAWS35000023020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sz w:val="24"/>
              </w:rPr>
            </w:pPr>
            <w:r>
              <w:rPr>
                <w:rFonts w:hint="default" w:ascii="Times New Roman" w:hAnsi="Times New Roman" w:eastAsia="宋体" w:cs="Times New Roman"/>
                <w:sz w:val="24"/>
              </w:rPr>
              <w:t>0227</w:t>
            </w:r>
          </w:p>
        </w:tc>
        <w:tc>
          <w:tcPr>
            <w:tcW w:w="2115" w:type="dxa"/>
            <w:tcBorders>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ascii="Times New Roman" w:hAnsi="Times New Roman"/>
                <w:sz w:val="24"/>
              </w:rPr>
            </w:pPr>
            <w:r>
              <w:rPr>
                <w:rFonts w:hint="default"/>
                <w:color w:val="000000"/>
                <w:sz w:val="24"/>
              </w:rPr>
              <w:t>043378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ascii="Times New Roman" w:hAnsi="Times New Roman"/>
                <w:sz w:val="24"/>
              </w:rPr>
            </w:pPr>
            <w:r>
              <w:rPr>
                <w:rFonts w:hint="eastAsia"/>
                <w:sz w:val="24"/>
              </w:rPr>
              <w:t>韦根远</w:t>
            </w:r>
          </w:p>
        </w:tc>
        <w:tc>
          <w:tcPr>
            <w:tcW w:w="4803"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ascii="Times New Roman" w:hAnsi="Times New Roman"/>
                <w:sz w:val="24"/>
              </w:rPr>
            </w:pPr>
            <w:r>
              <w:rPr>
                <w:rFonts w:hint="eastAsia"/>
                <w:sz w:val="24"/>
              </w:rPr>
              <w:t>S011044000110191001083</w:t>
            </w:r>
            <w:bookmarkStart w:id="0" w:name="_GoBack"/>
            <w:bookmarkEnd w:id="0"/>
            <w:r>
              <w:rPr>
                <w:rFonts w:hint="eastAsia"/>
                <w:sz w:val="24"/>
              </w:rPr>
              <w:t xml:space="preserve">  </w:t>
            </w:r>
          </w:p>
        </w:tc>
        <w:tc>
          <w:tcPr>
            <w:tcW w:w="2115"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ascii="Times New Roman" w:hAnsi="Times New Roman"/>
                <w:sz w:val="24"/>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ascii="Times New Roman" w:hAnsi="Times New Roman"/>
                <w:sz w:val="24"/>
              </w:rPr>
            </w:pPr>
            <w:r>
              <w:rPr>
                <w:rFonts w:hint="eastAsia"/>
                <w:sz w:val="24"/>
              </w:rPr>
              <w:t>陈武斌</w:t>
            </w:r>
          </w:p>
        </w:tc>
        <w:tc>
          <w:tcPr>
            <w:tcW w:w="4803"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ascii="Times New Roman" w:hAnsi="Times New Roman"/>
                <w:sz w:val="24"/>
              </w:rPr>
            </w:pPr>
            <w:r>
              <w:rPr>
                <w:rFonts w:hint="eastAsia"/>
                <w:sz w:val="24"/>
              </w:rPr>
              <w:t>1100000000300371</w:t>
            </w:r>
          </w:p>
        </w:tc>
        <w:tc>
          <w:tcPr>
            <w:tcW w:w="2115"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ascii="Times New Roman" w:hAnsi="Times New Roman"/>
                <w:sz w:val="24"/>
              </w:rPr>
            </w:pPr>
            <w:r>
              <w:rPr>
                <w:rFonts w:hint="eastAsia"/>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ascii="Times New Roman" w:hAnsi="Times New Roman"/>
                <w:sz w:val="24"/>
              </w:rPr>
            </w:pPr>
            <w:r>
              <w:rPr>
                <w:rFonts w:hint="eastAsia" w:ascii="Times New Roman" w:hAnsi="Times New Roman" w:eastAsia="宋体" w:cs="Times New Roman"/>
                <w:sz w:val="24"/>
              </w:rPr>
              <w:t>吴红玉</w:t>
            </w:r>
          </w:p>
        </w:tc>
        <w:tc>
          <w:tcPr>
            <w:tcW w:w="4803"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400" w:lineRule="exact"/>
              <w:ind w:left="0" w:leftChars="0" w:right="0" w:rightChars="0" w:firstLine="0" w:firstLineChars="0"/>
              <w:jc w:val="center"/>
              <w:rPr>
                <w:rFonts w:ascii="Times New Roman" w:hAnsi="Times New Roman"/>
                <w:sz w:val="24"/>
              </w:rPr>
            </w:pPr>
            <w:r>
              <w:rPr>
                <w:rFonts w:hint="eastAsia" w:ascii="Times New Roman" w:hAnsi="Times New Roman" w:eastAsia="宋体" w:cs="Times New Roman"/>
                <w:sz w:val="24"/>
              </w:rPr>
              <w:t>1200000000300398</w:t>
            </w:r>
          </w:p>
        </w:tc>
        <w:tc>
          <w:tcPr>
            <w:tcW w:w="2115" w:type="dxa"/>
            <w:tcBorders>
              <w:tl2br w:val="nil"/>
              <w:tr2bl w:val="nil"/>
            </w:tcBorders>
            <w:shd w:val="clear" w:color="auto" w:fill="FFFFFF"/>
            <w:vAlign w:val="center"/>
          </w:tcPr>
          <w:p>
            <w:pPr>
              <w:keepNext w:val="0"/>
              <w:keepLines w:val="0"/>
              <w:widowControl/>
              <w:suppressLineNumbers w:val="0"/>
              <w:spacing w:before="156" w:beforeLines="50" w:beforeAutospacing="0" w:after="156" w:afterLines="50" w:afterAutospacing="0" w:line="360" w:lineRule="exact"/>
              <w:ind w:left="0" w:leftChars="0" w:right="0" w:rightChars="0" w:firstLine="0" w:firstLineChars="0"/>
              <w:jc w:val="center"/>
              <w:rPr>
                <w:rFonts w:ascii="Times New Roman" w:hAnsi="Times New Roman"/>
                <w:sz w:val="24"/>
              </w:rPr>
            </w:pPr>
            <w:r>
              <w:rPr>
                <w:rFonts w:hint="eastAsia"/>
                <w:sz w:val="24"/>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pPr>
              <w:widowControl/>
              <w:spacing w:after="150"/>
              <w:jc w:val="center"/>
              <w:rPr>
                <w:rFonts w:hint="eastAsia" w:ascii="Times New Roman" w:hAnsi="Times New Roman" w:eastAsia="宋体"/>
                <w:sz w:val="24"/>
                <w:lang w:eastAsia="zh-CN"/>
              </w:rPr>
            </w:pPr>
            <w:r>
              <w:rPr>
                <w:rFonts w:hint="eastAsia"/>
                <w:sz w:val="24"/>
                <w:lang w:val="en-US" w:eastAsia="zh-CN"/>
              </w:rPr>
              <w:t>熊克书</w:t>
            </w:r>
            <w:r>
              <w:rPr>
                <w:rFonts w:hint="eastAsia"/>
                <w:sz w:val="24"/>
              </w:rPr>
              <w:t>2024.</w:t>
            </w:r>
            <w:r>
              <w:rPr>
                <w:rFonts w:hint="eastAsia"/>
                <w:sz w:val="24"/>
                <w:lang w:val="en-US" w:eastAsia="zh-CN"/>
              </w:rPr>
              <w:t>5</w:t>
            </w:r>
            <w:r>
              <w:rPr>
                <w:rFonts w:hint="eastAsia"/>
                <w:sz w:val="24"/>
              </w:rPr>
              <w:t>.</w:t>
            </w:r>
            <w:r>
              <w:rPr>
                <w:sz w:val="24"/>
              </w:rPr>
              <w:t>2</w:t>
            </w:r>
            <w:r>
              <w:rPr>
                <w:rFonts w:hint="eastAsia"/>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pPr>
              <w:widowControl/>
              <w:spacing w:after="150"/>
              <w:jc w:val="center"/>
              <w:rPr>
                <w:rFonts w:hint="eastAsia" w:ascii="Times New Roman" w:hAnsi="Times New Roman" w:eastAsia="宋体"/>
                <w:color w:val="FF0000"/>
                <w:sz w:val="24"/>
                <w:lang w:eastAsia="zh-CN"/>
              </w:rPr>
            </w:pPr>
            <w:r>
              <w:rPr>
                <w:rFonts w:hint="eastAsia"/>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pPr>
              <w:ind w:firstLine="480"/>
              <w:rPr>
                <w:rFonts w:hint="eastAsia" w:ascii="Times New Roman"/>
              </w:rPr>
            </w:pPr>
            <w:r>
              <w:rPr>
                <w:rFonts w:hint="eastAsia" w:ascii="Times New Roman"/>
              </w:rPr>
              <w:t>江西海容新材料有限公司成立于 2023 年 09 月 11 日，并取得永丰县市场监督管理局颁发的《营业执照》，营业执照统一社会信用代码：91360825MACX86228Q；公司注册地址：江西省吉安市永丰工业园西区，法定代表人：郭伟隆；注册资本为壹仟万元整，公司类型：有限责任公司（非自然人投资或控股法人独资），经营范围为：一般项目：电子专用材料制造，电子专用材料销售，电子专用材料研发，专用化学产品制造（不含危险化学品），专用化学产品销售（不含危险化学品）， 电池销售，电子元器件与机电组件设备销售，货物进出口，技术进出口（除依法须经批准的项目外，凭营业执照依法自主开展经营活动）。</w:t>
            </w:r>
          </w:p>
          <w:p>
            <w:pPr>
              <w:ind w:firstLine="480"/>
              <w:rPr>
                <w:rFonts w:hint="eastAsia" w:ascii="Times New Roman"/>
              </w:rPr>
            </w:pPr>
            <w:r>
              <w:rPr>
                <w:rFonts w:hint="eastAsia" w:ascii="Times New Roman"/>
              </w:rPr>
              <w:t>该项目于2023年12月26日在永丰县工业园区管理委员会取得了《江西省企业投资项目备案通知书》，项目名称：江西海容新材料有限公司年产10万吨锂钠离子电解液生产项目，项目统一代码：2309-360825-04-05-973011。项目总投资120000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pPr>
            <w:r>
              <w:rPr>
                <w:rFonts w:hint="eastAsia"/>
                <w:sz w:val="24"/>
              </w:rPr>
              <w:t>工艺流程</w:t>
            </w:r>
          </w:p>
        </w:tc>
        <w:tc>
          <w:tcPr>
            <w:tcW w:w="8155" w:type="dxa"/>
            <w:gridSpan w:val="3"/>
            <w:tcBorders>
              <w:tl2br w:val="nil"/>
              <w:tr2bl w:val="nil"/>
            </w:tcBorders>
            <w:shd w:val="clear" w:color="auto" w:fill="FFFFFF"/>
          </w:tcPr>
          <w:p>
            <w:pPr>
              <w:pStyle w:val="10"/>
              <w:spacing w:line="360" w:lineRule="auto"/>
              <w:jc w:val="left"/>
              <w:rPr>
                <w:rFonts w:hint="eastAsia" w:ascii="Times New Roman" w:hAnsi="Calibri" w:eastAsia="宋体" w:cs="Times New Roman"/>
                <w:kern w:val="2"/>
                <w:sz w:val="21"/>
                <w:szCs w:val="24"/>
                <w:lang w:val="en-US" w:eastAsia="zh-CN" w:bidi="ar-SA"/>
              </w:rPr>
            </w:pPr>
            <w:r>
              <w:rPr>
                <w:rFonts w:hint="eastAsia" w:ascii="Times New Roman" w:hAnsi="Calibri" w:eastAsia="宋体" w:cs="Times New Roman"/>
                <w:kern w:val="2"/>
                <w:sz w:val="21"/>
                <w:szCs w:val="24"/>
                <w:lang w:val="en-US" w:eastAsia="zh-CN" w:bidi="ar-SA"/>
              </w:rPr>
              <w:t>锂离子电解液JR-001产品工艺流程简图：</w:t>
            </w:r>
          </w:p>
          <w:p>
            <w:pPr>
              <w:pStyle w:val="10"/>
              <w:spacing w:line="360" w:lineRule="auto"/>
              <w:jc w:val="left"/>
            </w:pPr>
            <w:r>
              <w:drawing>
                <wp:inline distT="0" distB="0" distL="114300" distR="114300">
                  <wp:extent cx="4877435" cy="955040"/>
                  <wp:effectExtent l="0" t="0" r="1206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rcRect l="5656" r="4286"/>
                          <a:stretch>
                            <a:fillRect/>
                          </a:stretch>
                        </pic:blipFill>
                        <pic:spPr>
                          <a:xfrm>
                            <a:off x="0" y="0"/>
                            <a:ext cx="4877435" cy="955040"/>
                          </a:xfrm>
                          <a:prstGeom prst="rect">
                            <a:avLst/>
                          </a:prstGeom>
                          <a:noFill/>
                          <a:ln>
                            <a:noFill/>
                          </a:ln>
                        </pic:spPr>
                      </pic:pic>
                    </a:graphicData>
                  </a:graphic>
                </wp:inline>
              </w:drawing>
            </w:r>
          </w:p>
          <w:p>
            <w:pPr>
              <w:pStyle w:val="10"/>
              <w:spacing w:line="360" w:lineRule="auto"/>
              <w:jc w:val="left"/>
              <w:rPr>
                <w:rFonts w:hint="eastAsia" w:ascii="Times New Roman" w:hAnsi="Calibri" w:eastAsia="宋体" w:cs="Times New Roman"/>
                <w:kern w:val="2"/>
                <w:sz w:val="21"/>
                <w:szCs w:val="24"/>
                <w:lang w:val="en-US" w:eastAsia="zh-CN" w:bidi="ar-SA"/>
              </w:rPr>
            </w:pPr>
            <w:r>
              <w:rPr>
                <w:rFonts w:hint="eastAsia"/>
              </w:rPr>
              <w:t>锂离子电池电解液JR-002</w:t>
            </w:r>
            <w:r>
              <w:rPr>
                <w:rFonts w:hint="eastAsia" w:ascii="Times New Roman" w:hAnsi="Calibri" w:eastAsia="宋体" w:cs="Times New Roman"/>
                <w:kern w:val="2"/>
                <w:sz w:val="21"/>
                <w:szCs w:val="24"/>
                <w:lang w:val="en-US" w:eastAsia="zh-CN" w:bidi="ar-SA"/>
              </w:rPr>
              <w:t>产品工艺流程简图：</w:t>
            </w:r>
          </w:p>
          <w:p>
            <w:pPr>
              <w:pStyle w:val="10"/>
              <w:spacing w:line="360" w:lineRule="auto"/>
              <w:jc w:val="left"/>
            </w:pPr>
            <w:r>
              <w:drawing>
                <wp:inline distT="0" distB="0" distL="114300" distR="114300">
                  <wp:extent cx="4877435" cy="955040"/>
                  <wp:effectExtent l="0" t="0" r="12065" b="1016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
                          <a:srcRect l="5656" r="4286"/>
                          <a:stretch>
                            <a:fillRect/>
                          </a:stretch>
                        </pic:blipFill>
                        <pic:spPr>
                          <a:xfrm>
                            <a:off x="0" y="0"/>
                            <a:ext cx="4877435" cy="955040"/>
                          </a:xfrm>
                          <a:prstGeom prst="rect">
                            <a:avLst/>
                          </a:prstGeom>
                          <a:noFill/>
                          <a:ln>
                            <a:noFill/>
                          </a:ln>
                        </pic:spPr>
                      </pic:pic>
                    </a:graphicData>
                  </a:graphic>
                </wp:inline>
              </w:drawing>
            </w:r>
          </w:p>
          <w:p>
            <w:pPr>
              <w:pStyle w:val="10"/>
              <w:spacing w:line="360" w:lineRule="auto"/>
              <w:jc w:val="left"/>
              <w:rPr>
                <w:rFonts w:hint="eastAsia" w:ascii="Times New Roman" w:hAnsi="Calibri" w:eastAsia="宋体" w:cs="Times New Roman"/>
                <w:kern w:val="2"/>
                <w:sz w:val="21"/>
                <w:szCs w:val="24"/>
                <w:lang w:val="en-US" w:eastAsia="zh-CN" w:bidi="ar-SA"/>
              </w:rPr>
            </w:pPr>
            <w:r>
              <w:rPr>
                <w:rFonts w:hint="eastAsia"/>
              </w:rPr>
              <w:t>钠离子电池电解液</w:t>
            </w:r>
            <w:r>
              <w:rPr>
                <w:rFonts w:hint="eastAsia" w:ascii="Times New Roman" w:hAnsi="Calibri" w:eastAsia="宋体" w:cs="Times New Roman"/>
                <w:kern w:val="2"/>
                <w:sz w:val="21"/>
                <w:szCs w:val="24"/>
                <w:lang w:val="en-US" w:eastAsia="zh-CN" w:bidi="ar-SA"/>
              </w:rPr>
              <w:t>产品工艺流程简图：</w:t>
            </w:r>
          </w:p>
          <w:p>
            <w:pPr>
              <w:pStyle w:val="10"/>
              <w:spacing w:line="360" w:lineRule="auto"/>
              <w:jc w:val="left"/>
              <w:rPr>
                <w:rFonts w:hint="default" w:ascii="Times New Roman" w:hAnsi="Calibri" w:eastAsia="宋体" w:cs="Times New Roman"/>
                <w:kern w:val="2"/>
                <w:sz w:val="21"/>
                <w:szCs w:val="24"/>
                <w:lang w:val="en-US" w:eastAsia="zh-CN" w:bidi="ar-SA"/>
              </w:rPr>
            </w:pPr>
            <w:r>
              <w:drawing>
                <wp:inline distT="0" distB="0" distL="114300" distR="114300">
                  <wp:extent cx="4877435" cy="955040"/>
                  <wp:effectExtent l="0" t="0" r="1206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rcRect l="5656" r="4286"/>
                          <a:stretch>
                            <a:fillRect/>
                          </a:stretch>
                        </pic:blipFill>
                        <pic:spPr>
                          <a:xfrm>
                            <a:off x="0" y="0"/>
                            <a:ext cx="4877435" cy="9550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pPr>
        <w:jc w:val="center"/>
      </w:pPr>
      <w:r>
        <w:rPr>
          <w:rFonts w:hint="eastAsia" w:eastAsia="宋体" w:cs="宋体"/>
          <w:color w:val="FF0000"/>
          <w:lang w:eastAsia="zh-CN"/>
        </w:rPr>
        <w:drawing>
          <wp:inline distT="0" distB="0" distL="114300" distR="114300">
            <wp:extent cx="5009515" cy="3652520"/>
            <wp:effectExtent l="0" t="0" r="6985" b="5080"/>
            <wp:docPr id="4" name="图片 4" descr="f55331e403bfe85730e385cc0b7d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55331e403bfe85730e385cc0b7d7ba"/>
                    <pic:cNvPicPr>
                      <a:picLocks noChangeAspect="1"/>
                    </pic:cNvPicPr>
                  </pic:nvPicPr>
                  <pic:blipFill>
                    <a:blip r:embed="rId5"/>
                    <a:srcRect t="7303"/>
                    <a:stretch>
                      <a:fillRect/>
                    </a:stretch>
                  </pic:blipFill>
                  <pic:spPr>
                    <a:xfrm>
                      <a:off x="0" y="0"/>
                      <a:ext cx="5009515" cy="3652520"/>
                    </a:xfrm>
                    <a:prstGeom prst="rect">
                      <a:avLst/>
                    </a:prstGeom>
                  </pic:spPr>
                </pic:pic>
              </a:graphicData>
            </a:graphic>
          </wp:inline>
        </w:drawing>
      </w:r>
      <w:r>
        <w:drawing>
          <wp:inline distT="0" distB="0" distL="114300" distR="114300">
            <wp:extent cx="5002530" cy="4398645"/>
            <wp:effectExtent l="0" t="0" r="1270" b="825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6"/>
                    <a:srcRect t="9273"/>
                    <a:stretch>
                      <a:fillRect/>
                    </a:stretch>
                  </pic:blipFill>
                  <pic:spPr>
                    <a:xfrm>
                      <a:off x="0" y="0"/>
                      <a:ext cx="5002530" cy="4398645"/>
                    </a:xfrm>
                    <a:prstGeom prst="rect">
                      <a:avLst/>
                    </a:prstGeom>
                    <a:noFill/>
                    <a:ln>
                      <a:noFill/>
                    </a:ln>
                  </pic:spPr>
                </pic:pic>
              </a:graphicData>
            </a:graphic>
          </wp:inline>
        </w:drawing>
      </w:r>
    </w:p>
    <w:p>
      <w: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77"/>
        <w:gridCol w:w="1094"/>
        <w:gridCol w:w="5134"/>
        <w:gridCol w:w="2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7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387"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lang w:eastAsia="zh-CN"/>
              </w:rPr>
              <w:t>吉安市吉州区康达气体经销部无仓储贸易经营危险化学品安全现状评价报告</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7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387"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w:t>
            </w:r>
            <w:r>
              <w:rPr>
                <w:rFonts w:ascii="宋体" w:hAnsi="宋体" w:cs="宋体"/>
                <w:sz w:val="24"/>
              </w:rPr>
              <w:t>4</w:t>
            </w:r>
            <w:r>
              <w:rPr>
                <w:rFonts w:hint="eastAsia" w:ascii="宋体" w:hAnsi="宋体" w:cs="宋体"/>
                <w:sz w:val="24"/>
              </w:rPr>
              <w:t>年</w:t>
            </w:r>
            <w:r>
              <w:rPr>
                <w:rFonts w:hint="eastAsia" w:ascii="宋体" w:hAnsi="宋体" w:cs="宋体"/>
                <w:sz w:val="24"/>
                <w:lang w:val="en-US" w:eastAsia="zh-CN"/>
              </w:rPr>
              <w:t>7</w:t>
            </w:r>
            <w:r>
              <w:rPr>
                <w:rFonts w:hint="eastAsia" w:ascii="宋体" w:hAnsi="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664"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77" w:type="dxa"/>
            <w:tcBorders>
              <w:tl2br w:val="nil"/>
              <w:tr2bl w:val="nil"/>
            </w:tcBorders>
            <w:shd w:val="clear" w:color="auto" w:fill="FFFFFF"/>
            <w:vAlign w:val="center"/>
          </w:tcPr>
          <w:p>
            <w:pPr>
              <w:jc w:val="center"/>
              <w:rPr>
                <w:rFonts w:ascii="宋体" w:hAnsi="宋体" w:cs="宋体"/>
                <w:sz w:val="24"/>
              </w:rPr>
            </w:pPr>
          </w:p>
        </w:tc>
        <w:tc>
          <w:tcPr>
            <w:tcW w:w="109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13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资格证书号</w:t>
            </w:r>
          </w:p>
        </w:tc>
        <w:tc>
          <w:tcPr>
            <w:tcW w:w="2159"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1277"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09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lang w:val="en-US" w:eastAsia="zh-CN"/>
              </w:rPr>
              <w:t>熊克书</w:t>
            </w:r>
          </w:p>
        </w:tc>
        <w:tc>
          <w:tcPr>
            <w:tcW w:w="513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lang w:val="en-US" w:eastAsia="zh-CN"/>
              </w:rPr>
              <w:t>S011035000110192001546</w:t>
            </w:r>
          </w:p>
        </w:tc>
        <w:tc>
          <w:tcPr>
            <w:tcW w:w="215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lang w:val="en-US" w:eastAsia="zh-CN"/>
              </w:rPr>
              <w:t>027024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1277"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09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rPr>
              <w:t>韦根远</w:t>
            </w:r>
          </w:p>
        </w:tc>
        <w:tc>
          <w:tcPr>
            <w:tcW w:w="513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rPr>
              <w:t>S011044000110191001083</w:t>
            </w:r>
          </w:p>
        </w:tc>
        <w:tc>
          <w:tcPr>
            <w:tcW w:w="215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77" w:type="dxa"/>
            <w:vMerge w:val="continue"/>
            <w:tcBorders>
              <w:tl2br w:val="nil"/>
              <w:tr2bl w:val="nil"/>
            </w:tcBorders>
            <w:shd w:val="clear" w:color="auto" w:fill="FFFFFF"/>
            <w:vAlign w:val="center"/>
          </w:tcPr>
          <w:p>
            <w:pPr>
              <w:jc w:val="center"/>
              <w:rPr>
                <w:rFonts w:ascii="宋体" w:hAnsi="宋体" w:cs="宋体"/>
                <w:sz w:val="24"/>
              </w:rPr>
            </w:pPr>
          </w:p>
        </w:tc>
        <w:tc>
          <w:tcPr>
            <w:tcW w:w="109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rPr>
              <w:t>陈武斌</w:t>
            </w:r>
          </w:p>
        </w:tc>
        <w:tc>
          <w:tcPr>
            <w:tcW w:w="513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rPr>
              <w:t>1100000000300371</w:t>
            </w:r>
          </w:p>
        </w:tc>
        <w:tc>
          <w:tcPr>
            <w:tcW w:w="215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1277" w:type="dxa"/>
            <w:vMerge w:val="continue"/>
            <w:tcBorders>
              <w:tl2br w:val="nil"/>
              <w:tr2bl w:val="nil"/>
            </w:tcBorders>
            <w:shd w:val="clear" w:color="auto" w:fill="FFFFFF"/>
            <w:vAlign w:val="center"/>
          </w:tcPr>
          <w:p>
            <w:pPr>
              <w:jc w:val="center"/>
              <w:rPr>
                <w:rFonts w:ascii="宋体" w:hAnsi="宋体" w:cs="宋体"/>
                <w:sz w:val="24"/>
              </w:rPr>
            </w:pPr>
          </w:p>
        </w:tc>
        <w:tc>
          <w:tcPr>
            <w:tcW w:w="109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lang w:val="en-US" w:eastAsia="zh-CN"/>
              </w:rPr>
              <w:t>谢雨飞</w:t>
            </w:r>
          </w:p>
        </w:tc>
        <w:tc>
          <w:tcPr>
            <w:tcW w:w="513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lang w:val="en-US" w:eastAsia="zh-CN"/>
              </w:rPr>
              <w:t>CAWS350000230200227</w:t>
            </w:r>
          </w:p>
        </w:tc>
        <w:tc>
          <w:tcPr>
            <w:tcW w:w="215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lang w:val="en-US" w:eastAsia="zh-CN"/>
              </w:rPr>
              <w:t>043378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1277" w:type="dxa"/>
            <w:vMerge w:val="continue"/>
            <w:tcBorders>
              <w:tl2br w:val="nil"/>
              <w:tr2bl w:val="nil"/>
            </w:tcBorders>
            <w:shd w:val="clear" w:color="auto" w:fill="FFFFFF"/>
            <w:vAlign w:val="center"/>
          </w:tcPr>
          <w:p>
            <w:pPr>
              <w:jc w:val="center"/>
              <w:rPr>
                <w:rFonts w:ascii="宋体" w:hAnsi="宋体" w:cs="宋体"/>
                <w:sz w:val="24"/>
              </w:rPr>
            </w:pPr>
          </w:p>
        </w:tc>
        <w:tc>
          <w:tcPr>
            <w:tcW w:w="109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lang w:eastAsia="zh-CN"/>
              </w:rPr>
            </w:pPr>
            <w:r>
              <w:rPr>
                <w:rFonts w:hint="eastAsia" w:ascii="宋体" w:hAnsi="宋体" w:eastAsia="宋体" w:cs="宋体"/>
                <w:kern w:val="0"/>
                <w:sz w:val="24"/>
                <w:shd w:val="clear" w:color="auto" w:fill="FFFFFF"/>
                <w:lang w:val="en-US" w:eastAsia="zh-CN"/>
              </w:rPr>
              <w:t>吴红玉</w:t>
            </w:r>
          </w:p>
        </w:tc>
        <w:tc>
          <w:tcPr>
            <w:tcW w:w="513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1200000000300398</w:t>
            </w:r>
          </w:p>
        </w:tc>
        <w:tc>
          <w:tcPr>
            <w:tcW w:w="215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7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387"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69" w:hRule="atLeast"/>
          <w:jc w:val="center"/>
        </w:trPr>
        <w:tc>
          <w:tcPr>
            <w:tcW w:w="127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387"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sz w:val="24"/>
                <w:lang w:val="en-US" w:eastAsia="zh-CN"/>
              </w:rPr>
            </w:pPr>
            <w:r>
              <w:rPr>
                <w:rFonts w:hint="eastAsia" w:ascii="宋体" w:hAnsi="宋体" w:eastAsia="宋体" w:cs="宋体"/>
                <w:sz w:val="24"/>
              </w:rPr>
              <w:t>熊克书 202</w:t>
            </w:r>
            <w:r>
              <w:rPr>
                <w:rFonts w:hint="eastAsia" w:ascii="宋体" w:hAnsi="宋体" w:eastAsia="宋体" w:cs="宋体"/>
                <w:sz w:val="24"/>
                <w:lang w:val="en-US" w:eastAsia="zh-CN"/>
              </w:rPr>
              <w:t>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277"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387"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olor w:val="FF0000"/>
                <w:sz w:val="24"/>
                <w:lang w:eastAsia="zh-CN"/>
              </w:rPr>
            </w:pPr>
            <w:r>
              <w:rPr>
                <w:rFonts w:hint="eastAsia" w:ascii="宋体" w:hAnsi="宋体" w:eastAsia="宋体" w:cs="宋体"/>
                <w:sz w:val="24"/>
              </w:rPr>
              <w:t>熊克书 202</w:t>
            </w:r>
            <w:r>
              <w:rPr>
                <w:rFonts w:hint="eastAsia" w:ascii="宋体" w:hAnsi="宋体" w:eastAsia="宋体" w:cs="宋体"/>
                <w:sz w:val="24"/>
                <w:lang w:val="en-US" w:eastAsia="zh-CN"/>
              </w:rPr>
              <w:t>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7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387" w:type="dxa"/>
            <w:gridSpan w:val="3"/>
            <w:tcBorders>
              <w:tl2br w:val="nil"/>
              <w:tr2bl w:val="nil"/>
            </w:tcBorders>
            <w:shd w:val="clear" w:color="auto" w:fill="FFFFFF"/>
          </w:tcPr>
          <w:p>
            <w:pPr>
              <w:ind w:firstLine="560"/>
              <w:rPr>
                <w:rFonts w:hint="eastAsia" w:ascii="宋体" w:hAnsi="宋体" w:eastAsia="宋体" w:cs="宋体"/>
                <w:sz w:val="24"/>
                <w:lang w:val="en-US" w:eastAsia="zh-CN"/>
              </w:rPr>
            </w:pPr>
            <w:r>
              <w:rPr>
                <w:rFonts w:hint="eastAsia" w:ascii="宋体" w:hAnsi="宋体" w:eastAsia="宋体" w:cs="宋体"/>
                <w:sz w:val="24"/>
                <w:lang w:val="en-US" w:eastAsia="zh-CN"/>
              </w:rPr>
              <w:t>吉安市吉州区康达气体经销部成立于2002年12月19日，并取得吉安市吉州区行政审批局颁发的《营业执照》，营业执照统一社会信用代码：92360802L07549832M，注册经营场所：吉安市吉州区新桥镇虎溪村委会瑶子下村。法人代表：康小琼。公司类型：个体工商户，组成形式：个人经营，是一家经营工业气体为主的经营实体，该经销部位于吉安市吉州区新桥镇虎溪村委会瑶子下村，经营范围包括氧气、乙炔气、医用氧气、氮气、氩气、丙烯气、电石、焊条、五金工具、建材、水暖器材、电动工具、日用百货、灶具。化妆品及。</w:t>
            </w:r>
          </w:p>
          <w:p>
            <w:pPr>
              <w:ind w:firstLine="560"/>
              <w:rPr>
                <w:rFonts w:hint="eastAsia" w:ascii="宋体" w:hAnsi="宋体" w:eastAsia="宋体" w:cs="宋体"/>
                <w:sz w:val="24"/>
                <w:lang w:val="en-US" w:eastAsia="zh-CN"/>
              </w:rPr>
            </w:pPr>
            <w:r>
              <w:rPr>
                <w:rFonts w:hint="eastAsia" w:ascii="宋体" w:hAnsi="宋体" w:eastAsia="宋体" w:cs="宋体"/>
                <w:sz w:val="24"/>
                <w:lang w:val="en-US" w:eastAsia="zh-CN"/>
              </w:rPr>
              <w:t>吉安市吉州区康达气体经销部于2021年9月18日取得由吉安市吉州区行政审批局颁发的《危险化学品经营许可证》，证书编号：赣吉危化经字[2021]000005号，许可范围：氧气300瓶/月，氮气20瓶/月，二氧化碳20瓶/月，氩气20瓶/月，乙炔200吨/年；许可证有效期至2024年9月17日，经营产品销往吉州区及周边地区。</w:t>
            </w:r>
          </w:p>
          <w:p>
            <w:pPr>
              <w:ind w:firstLine="560"/>
              <w:rPr>
                <w:sz w:val="24"/>
              </w:rPr>
            </w:pPr>
            <w:r>
              <w:rPr>
                <w:rFonts w:hint="eastAsia" w:ascii="宋体" w:hAnsi="宋体" w:eastAsia="宋体" w:cs="宋体"/>
                <w:sz w:val="24"/>
                <w:lang w:val="en-US" w:eastAsia="zh-CN"/>
              </w:rPr>
              <w:t>吉安市吉州区康达气体经销部现有职工人数4人，其中技术管理和安全管理人员1名。该经销部核准经营许可范围为：氧气、氩气、乙炔、二氧化碳、氮气。现因该经销部危险化学品经营许可证临近到期，需重新申请换发氧气、氩气、乙炔、二氧化碳、氮气的经营许可证。故委托进行本次评价，以作为该经销部重新申请办理危险化学品经营许可证延期换证和企业安全管理提供技术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77" w:type="dxa"/>
            <w:tcBorders>
              <w:tl2br w:val="nil"/>
              <w:tr2bl w:val="nil"/>
            </w:tcBorders>
            <w:shd w:val="clear" w:color="auto" w:fill="FFFFFF"/>
            <w:vAlign w:val="center"/>
          </w:tcPr>
          <w:p>
            <w:pPr>
              <w:widowControl/>
              <w:spacing w:after="150"/>
              <w:jc w:val="center"/>
            </w:pPr>
            <w:r>
              <w:rPr>
                <w:rFonts w:hint="eastAsia"/>
                <w:sz w:val="24"/>
              </w:rPr>
              <w:t>工艺流程</w:t>
            </w:r>
          </w:p>
        </w:tc>
        <w:tc>
          <w:tcPr>
            <w:tcW w:w="8387" w:type="dxa"/>
            <w:gridSpan w:val="3"/>
            <w:tcBorders>
              <w:tl2br w:val="nil"/>
              <w:tr2bl w:val="nil"/>
            </w:tcBorders>
            <w:shd w:val="clear" w:color="auto" w:fill="FFFFFF"/>
          </w:tcPr>
          <w:p>
            <w:pPr>
              <w:pStyle w:val="10"/>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工艺流程简图</w:t>
            </w:r>
          </w:p>
          <w:p>
            <w:pPr>
              <w:pStyle w:val="10"/>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both"/>
              <w:textAlignment w:val="auto"/>
              <w:rPr>
                <w:rFonts w:hAnsi="宋体" w:cs="宋体"/>
                <w:b/>
                <w:bCs/>
                <w:color w:val="000000" w:themeColor="text1"/>
                <w:kern w:val="0"/>
                <w:sz w:val="24"/>
                <w:szCs w:val="20"/>
                <w14:textFill>
                  <w14:solidFill>
                    <w14:schemeClr w14:val="tx1"/>
                  </w14:solidFill>
                </w14:textFill>
              </w:rPr>
            </w:pPr>
            <w:r>
              <w:rPr>
                <w:rFonts w:hint="eastAsia" w:ascii="Calibri" w:hAnsi="Calibri" w:eastAsia="宋体" w:cs="Times New Roman"/>
                <w:kern w:val="2"/>
                <w:sz w:val="24"/>
                <w:szCs w:val="24"/>
                <w:lang w:val="en-US" w:eastAsia="zh-CN" w:bidi="ar-SA"/>
              </w:rPr>
              <w:t>本项目为无仓储贸易经营，不涉及生产工艺。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43" w:hRule="atLeast"/>
          <w:jc w:val="center"/>
        </w:trPr>
        <w:tc>
          <w:tcPr>
            <w:tcW w:w="1277"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387"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r>
        <w:br w:type="page"/>
      </w:r>
    </w:p>
    <w:p>
      <w:pPr>
        <w:ind w:left="0" w:leftChars="0" w:firstLine="0" w:firstLineChars="0"/>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64785" cy="3947160"/>
            <wp:effectExtent l="0" t="0" r="12065" b="15240"/>
            <wp:docPr id="5" name="图片 5" descr="c6ff69f1905338ebea64ad2d20af8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6ff69f1905338ebea64ad2d20af8f3"/>
                    <pic:cNvPicPr>
                      <a:picLocks noChangeAspect="1"/>
                    </pic:cNvPicPr>
                  </pic:nvPicPr>
                  <pic:blipFill>
                    <a:blip r:embed="rId7"/>
                    <a:stretch>
                      <a:fillRect/>
                    </a:stretch>
                  </pic:blipFill>
                  <pic:spPr>
                    <a:xfrm>
                      <a:off x="0" y="0"/>
                      <a:ext cx="5264785" cy="3947160"/>
                    </a:xfrm>
                    <a:prstGeom prst="rect">
                      <a:avLst/>
                    </a:prstGeom>
                  </pic:spPr>
                </pic:pic>
              </a:graphicData>
            </a:graphic>
          </wp:inline>
        </w:drawing>
      </w:r>
    </w:p>
    <w:p>
      <w:pPr>
        <w:pStyle w:val="8"/>
        <w:rPr>
          <w:rFonts w:hint="eastAsia"/>
          <w:lang w:eastAsia="zh-CN"/>
        </w:rPr>
      </w:pPr>
    </w:p>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64785" cy="3947160"/>
            <wp:effectExtent l="0" t="0" r="12065" b="15240"/>
            <wp:docPr id="6" name="图片 6" descr="东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东侧"/>
                    <pic:cNvPicPr>
                      <a:picLocks noChangeAspect="1"/>
                    </pic:cNvPicPr>
                  </pic:nvPicPr>
                  <pic:blipFill>
                    <a:blip r:embed="rId8"/>
                    <a:stretch>
                      <a:fillRect/>
                    </a:stretch>
                  </pic:blipFill>
                  <pic:spPr>
                    <a:xfrm>
                      <a:off x="0" y="0"/>
                      <a:ext cx="5264785" cy="3947160"/>
                    </a:xfrm>
                    <a:prstGeom prst="rect">
                      <a:avLst/>
                    </a:prstGeom>
                  </pic:spPr>
                </pic:pic>
              </a:graphicData>
            </a:graphic>
          </wp:inline>
        </w:drawing>
      </w:r>
      <w:r>
        <w:rPr>
          <w:rFonts w:hint="eastAsia" w:eastAsia="宋体"/>
          <w:color w:val="auto"/>
          <w:highlight w:val="none"/>
          <w:lang w:eastAsia="zh-CN"/>
        </w:rPr>
        <w:drawing>
          <wp:inline distT="0" distB="0" distL="114300" distR="114300">
            <wp:extent cx="4330700" cy="2768600"/>
            <wp:effectExtent l="0" t="0" r="12700" b="12700"/>
            <wp:docPr id="7" name="图片 7" descr="172040473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20404737385"/>
                    <pic:cNvPicPr>
                      <a:picLocks noChangeAspect="1"/>
                    </pic:cNvPicPr>
                  </pic:nvPicPr>
                  <pic:blipFill>
                    <a:blip r:embed="rId9"/>
                    <a:stretch>
                      <a:fillRect/>
                    </a:stretch>
                  </pic:blipFill>
                  <pic:spPr>
                    <a:xfrm>
                      <a:off x="0" y="0"/>
                      <a:ext cx="4330700" cy="2768600"/>
                    </a:xfrm>
                    <a:prstGeom prst="rect">
                      <a:avLst/>
                    </a:prstGeom>
                  </pic:spPr>
                </pic:pic>
              </a:graphicData>
            </a:graphic>
          </wp:inline>
        </w:drawing>
      </w:r>
    </w:p>
    <w:p>
      <w:pPr>
        <w:rPr>
          <w:rFonts w:hint="eastAsia" w:eastAsia="宋体"/>
          <w:color w:val="auto"/>
          <w:highlight w:val="none"/>
          <w:lang w:eastAsia="zh-CN"/>
        </w:rPr>
      </w:pPr>
      <w:r>
        <w:rPr>
          <w:rFonts w:hint="eastAsia" w:eastAsia="宋体"/>
          <w:color w:val="auto"/>
          <w:highlight w:val="none"/>
          <w:lang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277"/>
        <w:gridCol w:w="1094"/>
        <w:gridCol w:w="5134"/>
        <w:gridCol w:w="2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7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387"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lang w:eastAsia="zh-CN"/>
              </w:rPr>
              <w:t>吉安市吉州区安吉气体经销部无仓储贸易经营危险化学品安全现状评价</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7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387"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w:t>
            </w:r>
            <w:r>
              <w:rPr>
                <w:rFonts w:ascii="宋体" w:hAnsi="宋体" w:cs="宋体"/>
                <w:sz w:val="24"/>
              </w:rPr>
              <w:t>4</w:t>
            </w:r>
            <w:r>
              <w:rPr>
                <w:rFonts w:hint="eastAsia" w:ascii="宋体" w:hAnsi="宋体" w:cs="宋体"/>
                <w:sz w:val="24"/>
              </w:rPr>
              <w:t>年</w:t>
            </w:r>
            <w:r>
              <w:rPr>
                <w:rFonts w:hint="eastAsia" w:ascii="宋体" w:hAnsi="宋体" w:cs="宋体"/>
                <w:sz w:val="24"/>
                <w:lang w:val="en-US" w:eastAsia="zh-CN"/>
              </w:rPr>
              <w:t>7</w:t>
            </w:r>
            <w:r>
              <w:rPr>
                <w:rFonts w:hint="eastAsia" w:ascii="宋体" w:hAnsi="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664"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77" w:type="dxa"/>
            <w:tcBorders>
              <w:tl2br w:val="nil"/>
              <w:tr2bl w:val="nil"/>
            </w:tcBorders>
            <w:shd w:val="clear" w:color="auto" w:fill="FFFFFF"/>
            <w:vAlign w:val="center"/>
          </w:tcPr>
          <w:p>
            <w:pPr>
              <w:jc w:val="center"/>
              <w:rPr>
                <w:rFonts w:ascii="宋体" w:hAnsi="宋体" w:cs="宋体"/>
                <w:sz w:val="24"/>
              </w:rPr>
            </w:pPr>
          </w:p>
        </w:tc>
        <w:tc>
          <w:tcPr>
            <w:tcW w:w="109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13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资格证书号</w:t>
            </w:r>
          </w:p>
        </w:tc>
        <w:tc>
          <w:tcPr>
            <w:tcW w:w="2159"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1277"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09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lang w:val="en-US" w:eastAsia="zh-CN"/>
              </w:rPr>
              <w:t>熊克书</w:t>
            </w:r>
          </w:p>
        </w:tc>
        <w:tc>
          <w:tcPr>
            <w:tcW w:w="513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lang w:val="en-US" w:eastAsia="zh-CN"/>
              </w:rPr>
              <w:t>S011035000110192001546</w:t>
            </w:r>
          </w:p>
        </w:tc>
        <w:tc>
          <w:tcPr>
            <w:tcW w:w="215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lang w:val="en-US" w:eastAsia="zh-CN"/>
              </w:rPr>
              <w:t>027024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1277"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09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rPr>
              <w:t>韦根远</w:t>
            </w:r>
          </w:p>
        </w:tc>
        <w:tc>
          <w:tcPr>
            <w:tcW w:w="513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rPr>
              <w:t>S011044000110191001083</w:t>
            </w:r>
          </w:p>
        </w:tc>
        <w:tc>
          <w:tcPr>
            <w:tcW w:w="215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1277" w:type="dxa"/>
            <w:vMerge w:val="continue"/>
            <w:tcBorders>
              <w:tl2br w:val="nil"/>
              <w:tr2bl w:val="nil"/>
            </w:tcBorders>
            <w:shd w:val="clear" w:color="auto" w:fill="FFFFFF"/>
            <w:vAlign w:val="center"/>
          </w:tcPr>
          <w:p>
            <w:pPr>
              <w:jc w:val="center"/>
              <w:rPr>
                <w:rFonts w:ascii="宋体" w:hAnsi="宋体" w:cs="宋体"/>
                <w:sz w:val="24"/>
              </w:rPr>
            </w:pPr>
          </w:p>
        </w:tc>
        <w:tc>
          <w:tcPr>
            <w:tcW w:w="109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rPr>
              <w:t>陈武斌</w:t>
            </w:r>
          </w:p>
        </w:tc>
        <w:tc>
          <w:tcPr>
            <w:tcW w:w="513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rPr>
              <w:t>1100000000300371</w:t>
            </w:r>
          </w:p>
        </w:tc>
        <w:tc>
          <w:tcPr>
            <w:tcW w:w="215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1277" w:type="dxa"/>
            <w:vMerge w:val="continue"/>
            <w:tcBorders>
              <w:tl2br w:val="nil"/>
              <w:tr2bl w:val="nil"/>
            </w:tcBorders>
            <w:shd w:val="clear" w:color="auto" w:fill="FFFFFF"/>
            <w:vAlign w:val="center"/>
          </w:tcPr>
          <w:p>
            <w:pPr>
              <w:jc w:val="center"/>
              <w:rPr>
                <w:rFonts w:ascii="宋体" w:hAnsi="宋体" w:cs="宋体"/>
                <w:sz w:val="24"/>
              </w:rPr>
            </w:pPr>
          </w:p>
        </w:tc>
        <w:tc>
          <w:tcPr>
            <w:tcW w:w="109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lang w:val="en-US" w:eastAsia="zh-CN"/>
              </w:rPr>
              <w:t>谢雨飞</w:t>
            </w:r>
          </w:p>
        </w:tc>
        <w:tc>
          <w:tcPr>
            <w:tcW w:w="513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lang w:val="en-US" w:eastAsia="zh-CN"/>
              </w:rPr>
              <w:t>CAWS350000230200227</w:t>
            </w:r>
          </w:p>
        </w:tc>
        <w:tc>
          <w:tcPr>
            <w:tcW w:w="215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lang w:val="en-US" w:eastAsia="zh-CN"/>
              </w:rPr>
              <w:t>043378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1277" w:type="dxa"/>
            <w:vMerge w:val="continue"/>
            <w:tcBorders>
              <w:tl2br w:val="nil"/>
              <w:tr2bl w:val="nil"/>
            </w:tcBorders>
            <w:shd w:val="clear" w:color="auto" w:fill="FFFFFF"/>
            <w:vAlign w:val="center"/>
          </w:tcPr>
          <w:p>
            <w:pPr>
              <w:jc w:val="center"/>
              <w:rPr>
                <w:rFonts w:ascii="宋体" w:hAnsi="宋体" w:cs="宋体"/>
                <w:sz w:val="24"/>
              </w:rPr>
            </w:pPr>
          </w:p>
        </w:tc>
        <w:tc>
          <w:tcPr>
            <w:tcW w:w="109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lang w:eastAsia="zh-CN"/>
              </w:rPr>
            </w:pPr>
            <w:r>
              <w:rPr>
                <w:rFonts w:hint="eastAsia" w:ascii="宋体" w:hAnsi="宋体" w:eastAsia="宋体" w:cs="宋体"/>
                <w:kern w:val="0"/>
                <w:sz w:val="24"/>
                <w:shd w:val="clear" w:color="auto" w:fill="FFFFFF"/>
                <w:lang w:val="en-US" w:eastAsia="zh-CN"/>
              </w:rPr>
              <w:t>吴红玉</w:t>
            </w:r>
          </w:p>
        </w:tc>
        <w:tc>
          <w:tcPr>
            <w:tcW w:w="513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1200000000300398</w:t>
            </w:r>
          </w:p>
        </w:tc>
        <w:tc>
          <w:tcPr>
            <w:tcW w:w="215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27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387"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69" w:hRule="atLeast"/>
          <w:jc w:val="center"/>
        </w:trPr>
        <w:tc>
          <w:tcPr>
            <w:tcW w:w="127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387"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sz w:val="24"/>
                <w:lang w:val="en-US" w:eastAsia="zh-CN"/>
              </w:rPr>
            </w:pPr>
            <w:r>
              <w:rPr>
                <w:rFonts w:hint="eastAsia" w:ascii="宋体" w:hAnsi="宋体" w:eastAsia="宋体" w:cs="宋体"/>
                <w:sz w:val="24"/>
              </w:rPr>
              <w:t>熊克书 202</w:t>
            </w:r>
            <w:r>
              <w:rPr>
                <w:rFonts w:hint="eastAsia" w:ascii="宋体" w:hAnsi="宋体" w:eastAsia="宋体" w:cs="宋体"/>
                <w:sz w:val="24"/>
                <w:lang w:val="en-US" w:eastAsia="zh-CN"/>
              </w:rPr>
              <w:t>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277"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387"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olor w:val="FF0000"/>
                <w:sz w:val="24"/>
                <w:lang w:eastAsia="zh-CN"/>
              </w:rPr>
            </w:pPr>
            <w:r>
              <w:rPr>
                <w:rFonts w:hint="eastAsia" w:ascii="宋体" w:hAnsi="宋体" w:eastAsia="宋体" w:cs="宋体"/>
                <w:sz w:val="24"/>
              </w:rPr>
              <w:t>熊克书 202</w:t>
            </w:r>
            <w:r>
              <w:rPr>
                <w:rFonts w:hint="eastAsia" w:ascii="宋体" w:hAnsi="宋体" w:eastAsia="宋体" w:cs="宋体"/>
                <w:sz w:val="24"/>
                <w:lang w:val="en-US" w:eastAsia="zh-CN"/>
              </w:rPr>
              <w:t>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7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387" w:type="dxa"/>
            <w:gridSpan w:val="3"/>
            <w:tcBorders>
              <w:tl2br w:val="nil"/>
              <w:tr2bl w:val="nil"/>
            </w:tcBorders>
            <w:shd w:val="clear" w:color="auto" w:fill="FFFFFF"/>
          </w:tcPr>
          <w:p>
            <w:pPr>
              <w:ind w:firstLine="560"/>
              <w:rPr>
                <w:rFonts w:hint="eastAsia" w:ascii="宋体" w:hAnsi="宋体" w:eastAsia="宋体" w:cs="宋体"/>
                <w:sz w:val="24"/>
                <w:lang w:val="en-US" w:eastAsia="zh-CN"/>
              </w:rPr>
            </w:pPr>
            <w:r>
              <w:rPr>
                <w:rFonts w:hint="eastAsia" w:ascii="宋体" w:hAnsi="宋体" w:eastAsia="宋体" w:cs="宋体"/>
                <w:sz w:val="24"/>
                <w:lang w:val="en-US" w:eastAsia="zh-CN"/>
              </w:rPr>
              <w:t>吉安市吉州区安吉气体经销部成立于2011年9月19日，并取得吉安市吉州区行政审批局颁发的《营业执照》，营业执照统一社会信用代码：92360802L441115068，注册经营场所：吉安市吉州区禾埠街道新村村委会南坑组。法人代表：曾军平。公司类型：个体工商户，组成形式：个人经营，是一家经营工业气体为主的经营实体，主要经营范围：氧气瓶300瓶/月、乙炔200吨/年、氮气20瓶/月、二氧化碳20瓶/月、氩气20瓶/月、***零售（依法须经批准的项目，经相关部门批准后方可开展经营活动）。</w:t>
            </w:r>
          </w:p>
          <w:p>
            <w:pPr>
              <w:ind w:firstLine="560"/>
              <w:rPr>
                <w:rFonts w:hint="eastAsia" w:ascii="宋体" w:hAnsi="宋体" w:eastAsia="宋体" w:cs="宋体"/>
                <w:sz w:val="24"/>
                <w:lang w:val="en-US" w:eastAsia="zh-CN"/>
              </w:rPr>
            </w:pPr>
            <w:r>
              <w:rPr>
                <w:rFonts w:hint="eastAsia" w:ascii="宋体" w:hAnsi="宋体" w:eastAsia="宋体" w:cs="宋体"/>
                <w:sz w:val="24"/>
                <w:lang w:val="en-US" w:eastAsia="zh-CN"/>
              </w:rPr>
              <w:t>吉安市吉州区安吉气体经销部于2021年9月18日取得由吉安市吉州区行政审批局颁发的《危险化学品经营许可证》，证书编号：赣吉危化经字[2021]000007号，许可范围：氧气300瓶/月，氮气20瓶/月，二氧化碳20瓶/月，氩气20瓶/月，乙炔200吨/年；许可证有效期至2024年9月17日，经营产品销往吉州区及周边地区。</w:t>
            </w:r>
          </w:p>
          <w:p>
            <w:pPr>
              <w:ind w:firstLine="560"/>
              <w:rPr>
                <w:sz w:val="24"/>
              </w:rPr>
            </w:pPr>
            <w:r>
              <w:rPr>
                <w:rFonts w:hint="eastAsia" w:ascii="宋体" w:hAnsi="宋体" w:eastAsia="宋体" w:cs="宋体"/>
                <w:sz w:val="24"/>
                <w:lang w:val="en-US" w:eastAsia="zh-CN"/>
              </w:rPr>
              <w:t>吉安市吉州区安吉气体经销部现有职工人数4人，其中技术管理和安全管理人员1名。该经销部核准经营许可范围为：氧气、氩气、乙炔、二氧化碳、氮气。现因该经销部危险化学品经营场所变更，需重新申请办理氧气、氩气、乙炔、二氧化碳、氮气的经营许可证。故委托进行本次评价，以作为该经销部重新申请办理危险化学品经营许可证和企业安全管理提供技术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277" w:type="dxa"/>
            <w:tcBorders>
              <w:tl2br w:val="nil"/>
              <w:tr2bl w:val="nil"/>
            </w:tcBorders>
            <w:shd w:val="clear" w:color="auto" w:fill="FFFFFF"/>
            <w:vAlign w:val="center"/>
          </w:tcPr>
          <w:p>
            <w:pPr>
              <w:widowControl/>
              <w:spacing w:after="150"/>
              <w:jc w:val="center"/>
            </w:pPr>
            <w:r>
              <w:rPr>
                <w:rFonts w:hint="eastAsia"/>
                <w:sz w:val="24"/>
              </w:rPr>
              <w:t>工艺流程</w:t>
            </w:r>
          </w:p>
        </w:tc>
        <w:tc>
          <w:tcPr>
            <w:tcW w:w="8387" w:type="dxa"/>
            <w:gridSpan w:val="3"/>
            <w:tcBorders>
              <w:tl2br w:val="nil"/>
              <w:tr2bl w:val="nil"/>
            </w:tcBorders>
            <w:shd w:val="clear" w:color="auto" w:fill="FFFFFF"/>
          </w:tcPr>
          <w:p>
            <w:pPr>
              <w:pStyle w:val="10"/>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工艺流程简图</w:t>
            </w:r>
          </w:p>
          <w:p>
            <w:pPr>
              <w:pStyle w:val="10"/>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both"/>
              <w:textAlignment w:val="auto"/>
              <w:rPr>
                <w:rFonts w:hAnsi="宋体" w:cs="宋体"/>
                <w:b/>
                <w:bCs/>
                <w:color w:val="000000" w:themeColor="text1"/>
                <w:kern w:val="0"/>
                <w:sz w:val="24"/>
                <w:szCs w:val="20"/>
                <w14:textFill>
                  <w14:solidFill>
                    <w14:schemeClr w14:val="tx1"/>
                  </w14:solidFill>
                </w14:textFill>
              </w:rPr>
            </w:pPr>
            <w:r>
              <w:rPr>
                <w:rFonts w:hint="eastAsia" w:ascii="Calibri" w:hAnsi="Calibri" w:eastAsia="宋体" w:cs="Times New Roman"/>
                <w:kern w:val="2"/>
                <w:sz w:val="24"/>
                <w:szCs w:val="24"/>
                <w:lang w:val="en-US" w:eastAsia="zh-CN" w:bidi="ar-SA"/>
              </w:rPr>
              <w:t>本项目为无仓储贸易经营，不涉及生产工艺。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43" w:hRule="atLeast"/>
          <w:jc w:val="center"/>
        </w:trPr>
        <w:tc>
          <w:tcPr>
            <w:tcW w:w="1277"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387"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r>
        <w:br w:type="page"/>
      </w:r>
    </w:p>
    <w:p>
      <w:pPr>
        <w:ind w:left="0" w:leftChars="0" w:firstLine="0" w:firstLineChars="0"/>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64785" cy="3947160"/>
            <wp:effectExtent l="0" t="0" r="12065" b="15240"/>
            <wp:docPr id="10" name="图片 10" descr="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现场照片"/>
                    <pic:cNvPicPr>
                      <a:picLocks noChangeAspect="1"/>
                    </pic:cNvPicPr>
                  </pic:nvPicPr>
                  <pic:blipFill>
                    <a:blip r:embed="rId10"/>
                    <a:stretch>
                      <a:fillRect/>
                    </a:stretch>
                  </pic:blipFill>
                  <pic:spPr>
                    <a:xfrm>
                      <a:off x="0" y="0"/>
                      <a:ext cx="5264785" cy="3947160"/>
                    </a:xfrm>
                    <a:prstGeom prst="rect">
                      <a:avLst/>
                    </a:prstGeom>
                  </pic:spPr>
                </pic:pic>
              </a:graphicData>
            </a:graphic>
          </wp:inline>
        </w:drawing>
      </w:r>
    </w:p>
    <w:p>
      <w:pPr>
        <w:pStyle w:val="8"/>
        <w:rPr>
          <w:rFonts w:hint="eastAsia"/>
          <w:lang w:eastAsia="zh-CN"/>
        </w:rPr>
      </w:pPr>
    </w:p>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64785" cy="3947160"/>
            <wp:effectExtent l="0" t="0" r="12065" b="15240"/>
            <wp:docPr id="11" name="图片 11" descr="经销部现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经销部现场"/>
                    <pic:cNvPicPr>
                      <a:picLocks noChangeAspect="1"/>
                    </pic:cNvPicPr>
                  </pic:nvPicPr>
                  <pic:blipFill>
                    <a:blip r:embed="rId11"/>
                    <a:stretch>
                      <a:fillRect/>
                    </a:stretch>
                  </pic:blipFill>
                  <pic:spPr>
                    <a:xfrm>
                      <a:off x="0" y="0"/>
                      <a:ext cx="5264785" cy="3947160"/>
                    </a:xfrm>
                    <a:prstGeom prst="rect">
                      <a:avLst/>
                    </a:prstGeom>
                  </pic:spPr>
                </pic:pic>
              </a:graphicData>
            </a:graphic>
          </wp:inline>
        </w:drawing>
      </w:r>
      <w:r>
        <w:rPr>
          <w:rFonts w:hint="eastAsia" w:eastAsia="宋体"/>
          <w:color w:val="auto"/>
          <w:highlight w:val="none"/>
          <w:lang w:eastAsia="zh-CN"/>
        </w:rPr>
        <w:drawing>
          <wp:inline distT="0" distB="0" distL="114300" distR="114300">
            <wp:extent cx="4517390" cy="6009005"/>
            <wp:effectExtent l="0" t="0" r="16510" b="10795"/>
            <wp:docPr id="12" name="图片 1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4--"/>
                    <pic:cNvPicPr>
                      <a:picLocks noChangeAspect="1"/>
                    </pic:cNvPicPr>
                  </pic:nvPicPr>
                  <pic:blipFill>
                    <a:blip r:embed="rId12"/>
                    <a:stretch>
                      <a:fillRect/>
                    </a:stretch>
                  </pic:blipFill>
                  <pic:spPr>
                    <a:xfrm>
                      <a:off x="0" y="0"/>
                      <a:ext cx="4517390" cy="6009005"/>
                    </a:xfrm>
                    <a:prstGeom prst="rect">
                      <a:avLst/>
                    </a:prstGeom>
                  </pic:spPr>
                </pic:pic>
              </a:graphicData>
            </a:graphic>
          </wp:inline>
        </w:drawing>
      </w:r>
    </w:p>
    <w:p>
      <w:pPr>
        <w:rPr>
          <w:rFonts w:hint="eastAsia" w:eastAsia="宋体"/>
          <w:color w:val="auto"/>
          <w:highlight w:val="none"/>
          <w:lang w:eastAsia="zh-CN"/>
        </w:rPr>
      </w:pPr>
    </w:p>
    <w:p>
      <w:pPr>
        <w:rPr>
          <w:rFonts w:hint="eastAsia"/>
          <w:lang w:eastAsia="zh-CN"/>
        </w:rPr>
      </w:pPr>
      <w:r>
        <w:rPr>
          <w:rFonts w:hint="eastAsia"/>
          <w:lang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435"/>
        <w:gridCol w:w="936"/>
        <w:gridCol w:w="5134"/>
        <w:gridCol w:w="2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43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229"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lang w:eastAsia="zh-CN"/>
              </w:rPr>
              <w:t>吉安市吉州区华达气体经销部无仓储贸易经营危险化学品安全现状评价报告</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43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229"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w:t>
            </w:r>
            <w:r>
              <w:rPr>
                <w:rFonts w:ascii="宋体" w:hAnsi="宋体" w:cs="宋体"/>
                <w:sz w:val="24"/>
              </w:rPr>
              <w:t>4</w:t>
            </w:r>
            <w:r>
              <w:rPr>
                <w:rFonts w:hint="eastAsia" w:ascii="宋体" w:hAnsi="宋体" w:cs="宋体"/>
                <w:sz w:val="24"/>
              </w:rPr>
              <w:t>年</w:t>
            </w:r>
            <w:r>
              <w:rPr>
                <w:rFonts w:hint="eastAsia" w:ascii="宋体" w:hAnsi="宋体" w:cs="宋体"/>
                <w:sz w:val="24"/>
                <w:lang w:val="en-US" w:eastAsia="zh-CN"/>
              </w:rPr>
              <w:t>7</w:t>
            </w:r>
            <w:r>
              <w:rPr>
                <w:rFonts w:hint="eastAsia" w:ascii="宋体" w:hAnsi="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664"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435" w:type="dxa"/>
            <w:tcBorders>
              <w:tl2br w:val="nil"/>
              <w:tr2bl w:val="nil"/>
            </w:tcBorders>
            <w:shd w:val="clear" w:color="auto" w:fill="FFFFFF"/>
            <w:vAlign w:val="center"/>
          </w:tcPr>
          <w:p>
            <w:pPr>
              <w:jc w:val="center"/>
              <w:rPr>
                <w:rFonts w:ascii="宋体" w:hAnsi="宋体" w:cs="宋体"/>
                <w:sz w:val="24"/>
              </w:rPr>
            </w:pPr>
          </w:p>
        </w:tc>
        <w:tc>
          <w:tcPr>
            <w:tcW w:w="936"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13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资格证书号</w:t>
            </w:r>
          </w:p>
        </w:tc>
        <w:tc>
          <w:tcPr>
            <w:tcW w:w="2159"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1435"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93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lang w:val="en-US" w:eastAsia="zh-CN"/>
              </w:rPr>
              <w:t>熊克书</w:t>
            </w:r>
          </w:p>
        </w:tc>
        <w:tc>
          <w:tcPr>
            <w:tcW w:w="513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lang w:val="en-US" w:eastAsia="zh-CN"/>
              </w:rPr>
              <w:t>S011035000110192001546</w:t>
            </w:r>
          </w:p>
        </w:tc>
        <w:tc>
          <w:tcPr>
            <w:tcW w:w="215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lang w:val="en-US" w:eastAsia="zh-CN"/>
              </w:rPr>
              <w:t>027024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1435"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93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rPr>
              <w:t>韦根远</w:t>
            </w:r>
          </w:p>
        </w:tc>
        <w:tc>
          <w:tcPr>
            <w:tcW w:w="513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rPr>
              <w:t>S011044000110191001083</w:t>
            </w:r>
          </w:p>
        </w:tc>
        <w:tc>
          <w:tcPr>
            <w:tcW w:w="215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1435" w:type="dxa"/>
            <w:vMerge w:val="continue"/>
            <w:tcBorders>
              <w:tl2br w:val="nil"/>
              <w:tr2bl w:val="nil"/>
            </w:tcBorders>
            <w:shd w:val="clear" w:color="auto" w:fill="FFFFFF"/>
            <w:vAlign w:val="center"/>
          </w:tcPr>
          <w:p>
            <w:pPr>
              <w:jc w:val="center"/>
              <w:rPr>
                <w:rFonts w:ascii="宋体" w:hAnsi="宋体" w:cs="宋体"/>
                <w:sz w:val="24"/>
              </w:rPr>
            </w:pPr>
          </w:p>
        </w:tc>
        <w:tc>
          <w:tcPr>
            <w:tcW w:w="93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rPr>
              <w:t>陈武斌</w:t>
            </w:r>
          </w:p>
        </w:tc>
        <w:tc>
          <w:tcPr>
            <w:tcW w:w="513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rPr>
              <w:t>1100000000300371</w:t>
            </w:r>
          </w:p>
        </w:tc>
        <w:tc>
          <w:tcPr>
            <w:tcW w:w="215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1435" w:type="dxa"/>
            <w:vMerge w:val="continue"/>
            <w:tcBorders>
              <w:tl2br w:val="nil"/>
              <w:tr2bl w:val="nil"/>
            </w:tcBorders>
            <w:shd w:val="clear" w:color="auto" w:fill="FFFFFF"/>
            <w:vAlign w:val="center"/>
          </w:tcPr>
          <w:p>
            <w:pPr>
              <w:jc w:val="center"/>
              <w:rPr>
                <w:rFonts w:ascii="宋体" w:hAnsi="宋体" w:cs="宋体"/>
                <w:sz w:val="24"/>
              </w:rPr>
            </w:pPr>
          </w:p>
        </w:tc>
        <w:tc>
          <w:tcPr>
            <w:tcW w:w="93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lang w:val="en-US" w:eastAsia="zh-CN"/>
              </w:rPr>
              <w:t>谢雨飞</w:t>
            </w:r>
          </w:p>
        </w:tc>
        <w:tc>
          <w:tcPr>
            <w:tcW w:w="513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lang w:val="en-US" w:eastAsia="zh-CN"/>
              </w:rPr>
              <w:t>CAWS350000230200227</w:t>
            </w:r>
          </w:p>
        </w:tc>
        <w:tc>
          <w:tcPr>
            <w:tcW w:w="215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rPr>
            </w:pPr>
            <w:r>
              <w:rPr>
                <w:rFonts w:hint="eastAsia" w:ascii="宋体" w:hAnsi="宋体" w:eastAsia="宋体" w:cs="宋体"/>
                <w:kern w:val="0"/>
                <w:sz w:val="24"/>
                <w:shd w:val="clear" w:color="auto" w:fill="FFFFFF"/>
                <w:lang w:val="en-US" w:eastAsia="zh-CN"/>
              </w:rPr>
              <w:t>043378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4" w:hRule="atLeast"/>
          <w:jc w:val="center"/>
        </w:trPr>
        <w:tc>
          <w:tcPr>
            <w:tcW w:w="1435" w:type="dxa"/>
            <w:vMerge w:val="continue"/>
            <w:tcBorders>
              <w:tl2br w:val="nil"/>
              <w:tr2bl w:val="nil"/>
            </w:tcBorders>
            <w:shd w:val="clear" w:color="auto" w:fill="FFFFFF"/>
            <w:vAlign w:val="center"/>
          </w:tcPr>
          <w:p>
            <w:pPr>
              <w:jc w:val="center"/>
              <w:rPr>
                <w:rFonts w:ascii="宋体" w:hAnsi="宋体" w:cs="宋体"/>
                <w:sz w:val="24"/>
              </w:rPr>
            </w:pPr>
          </w:p>
        </w:tc>
        <w:tc>
          <w:tcPr>
            <w:tcW w:w="93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lang w:eastAsia="zh-CN"/>
              </w:rPr>
            </w:pPr>
            <w:r>
              <w:rPr>
                <w:rFonts w:hint="eastAsia" w:ascii="宋体" w:hAnsi="宋体" w:eastAsia="宋体" w:cs="宋体"/>
                <w:kern w:val="0"/>
                <w:sz w:val="24"/>
                <w:shd w:val="clear" w:color="auto" w:fill="FFFFFF"/>
                <w:lang w:val="en-US" w:eastAsia="zh-CN"/>
              </w:rPr>
              <w:t>吴红玉</w:t>
            </w:r>
          </w:p>
        </w:tc>
        <w:tc>
          <w:tcPr>
            <w:tcW w:w="513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1200000000300398</w:t>
            </w:r>
          </w:p>
        </w:tc>
        <w:tc>
          <w:tcPr>
            <w:tcW w:w="215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43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229"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69" w:hRule="atLeast"/>
          <w:jc w:val="center"/>
        </w:trPr>
        <w:tc>
          <w:tcPr>
            <w:tcW w:w="1435"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现场勘察人员及时间</w:t>
            </w:r>
          </w:p>
        </w:tc>
        <w:tc>
          <w:tcPr>
            <w:tcW w:w="8229"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sz w:val="24"/>
                <w:lang w:val="en-US" w:eastAsia="zh-CN"/>
              </w:rPr>
            </w:pPr>
            <w:r>
              <w:rPr>
                <w:rFonts w:hint="eastAsia" w:ascii="宋体" w:hAnsi="宋体" w:eastAsia="宋体" w:cs="宋体"/>
                <w:sz w:val="24"/>
              </w:rPr>
              <w:t>熊克书 202</w:t>
            </w:r>
            <w:r>
              <w:rPr>
                <w:rFonts w:hint="eastAsia" w:ascii="宋体" w:hAnsi="宋体" w:eastAsia="宋体" w:cs="宋体"/>
                <w:sz w:val="24"/>
                <w:lang w:val="en-US" w:eastAsia="zh-CN"/>
              </w:rPr>
              <w:t>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435"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229"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仿宋_GB2312"/>
                <w:color w:val="FF0000"/>
                <w:sz w:val="24"/>
                <w:lang w:eastAsia="zh-CN"/>
              </w:rPr>
            </w:pPr>
            <w:r>
              <w:rPr>
                <w:rFonts w:hint="eastAsia" w:ascii="宋体" w:hAnsi="宋体" w:eastAsia="宋体" w:cs="宋体"/>
                <w:sz w:val="24"/>
              </w:rPr>
              <w:t>熊克书 202</w:t>
            </w:r>
            <w:r>
              <w:rPr>
                <w:rFonts w:hint="eastAsia" w:ascii="宋体" w:hAnsi="宋体" w:eastAsia="宋体" w:cs="宋体"/>
                <w:sz w:val="24"/>
                <w:lang w:val="en-US" w:eastAsia="zh-CN"/>
              </w:rPr>
              <w:t>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43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229" w:type="dxa"/>
            <w:gridSpan w:val="3"/>
            <w:tcBorders>
              <w:tl2br w:val="nil"/>
              <w:tr2bl w:val="nil"/>
            </w:tcBorders>
            <w:shd w:val="clear" w:color="auto" w:fill="FFFFFF"/>
          </w:tcPr>
          <w:p>
            <w:pPr>
              <w:ind w:firstLine="560"/>
              <w:rPr>
                <w:rFonts w:hint="eastAsia" w:ascii="宋体" w:hAnsi="宋体" w:eastAsia="宋体" w:cs="宋体"/>
                <w:sz w:val="24"/>
                <w:lang w:val="en-US" w:eastAsia="zh-CN"/>
              </w:rPr>
            </w:pPr>
            <w:r>
              <w:rPr>
                <w:rFonts w:hint="eastAsia" w:ascii="宋体" w:hAnsi="宋体" w:eastAsia="宋体" w:cs="宋体"/>
                <w:sz w:val="24"/>
                <w:lang w:val="en-US" w:eastAsia="zh-CN"/>
              </w:rPr>
              <w:t>吉安市吉州区华达气体经销部成立于2003年9月18日，并取得吉安市吉州区行政审批局颁发的《营业执照》，营业执照统一社会信用代码：92360802L04800542T，注册经营场所：吉安市吉州区城南专业机械市场B-7-8。法人代表：曾卫平。公司类型：个体工商户，组成形式：个人经营，是一家经营工业气体为主的经营实体，该经销部位于吉安市吉州区城南专业机械市场B-7-8，主要经营范围：包括氧气、乙炔、氩气、二氧化碳、氮气（凭危险化学品经营许可证经营）、五金工具、消防器材，零售(依法须经批准的项目，经相关部门批准后方可开展经营活动)。</w:t>
            </w:r>
          </w:p>
          <w:p>
            <w:pPr>
              <w:ind w:firstLine="560"/>
              <w:rPr>
                <w:rFonts w:hint="eastAsia" w:ascii="宋体" w:hAnsi="宋体" w:eastAsia="宋体" w:cs="宋体"/>
                <w:sz w:val="24"/>
                <w:lang w:val="en-US" w:eastAsia="zh-CN"/>
              </w:rPr>
            </w:pPr>
            <w:r>
              <w:rPr>
                <w:rFonts w:hint="eastAsia" w:ascii="宋体" w:hAnsi="宋体" w:eastAsia="宋体" w:cs="宋体"/>
                <w:sz w:val="24"/>
                <w:lang w:val="en-US" w:eastAsia="zh-CN"/>
              </w:rPr>
              <w:t>吉安市吉州区华达气体经销部于2021年9月18日取得由吉安市吉州区行政审批局颁发的《危险化学品经营许可证》，证书编号：赣吉危化经字[2021]000006号，许可范围：氧气300瓶/月，氮气20瓶/月，二氧化碳20瓶/月，氩气20瓶/月，乙炔200吨/年；许可证有效期至2024年9月17日，经营产品销往吉州区及周边地区。</w:t>
            </w:r>
          </w:p>
          <w:p>
            <w:pPr>
              <w:ind w:firstLine="560"/>
              <w:rPr>
                <w:sz w:val="24"/>
              </w:rPr>
            </w:pPr>
            <w:r>
              <w:rPr>
                <w:rFonts w:hint="eastAsia" w:ascii="宋体" w:hAnsi="宋体" w:eastAsia="宋体" w:cs="宋体"/>
                <w:sz w:val="24"/>
                <w:lang w:val="en-US" w:eastAsia="zh-CN"/>
              </w:rPr>
              <w:t>吉安市吉州区华达气体经销部现有职工人数4人，其中技术管理和安全管理人员1名。该经销部核准经营许可范围为：氧气、氩气、乙炔、二氧化碳、氮气。现因该经销部危险化学品经营许可证临近到期，需重新申请换发氧气、氩气、乙炔、二氧化碳、氮气的经营许可证。故委托进行本次评价，以作为该经销部重新申请办理危险化学品经营许可证延期和企业安全管理提供技术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435" w:type="dxa"/>
            <w:tcBorders>
              <w:tl2br w:val="nil"/>
              <w:tr2bl w:val="nil"/>
            </w:tcBorders>
            <w:shd w:val="clear" w:color="auto" w:fill="FFFFFF"/>
            <w:vAlign w:val="center"/>
          </w:tcPr>
          <w:p>
            <w:pPr>
              <w:widowControl/>
              <w:spacing w:after="150"/>
              <w:jc w:val="center"/>
            </w:pPr>
            <w:r>
              <w:rPr>
                <w:rFonts w:hint="eastAsia"/>
                <w:sz w:val="24"/>
              </w:rPr>
              <w:t>工艺流程</w:t>
            </w:r>
          </w:p>
        </w:tc>
        <w:tc>
          <w:tcPr>
            <w:tcW w:w="8229" w:type="dxa"/>
            <w:gridSpan w:val="3"/>
            <w:tcBorders>
              <w:tl2br w:val="nil"/>
              <w:tr2bl w:val="nil"/>
            </w:tcBorders>
            <w:shd w:val="clear" w:color="auto" w:fill="FFFFFF"/>
          </w:tcPr>
          <w:p>
            <w:pPr>
              <w:pStyle w:val="10"/>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工艺流程简图</w:t>
            </w:r>
          </w:p>
          <w:p>
            <w:pPr>
              <w:pStyle w:val="10"/>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both"/>
              <w:textAlignment w:val="auto"/>
              <w:rPr>
                <w:rFonts w:hAnsi="宋体" w:cs="宋体"/>
                <w:b/>
                <w:bCs/>
                <w:color w:val="000000" w:themeColor="text1"/>
                <w:kern w:val="0"/>
                <w:sz w:val="24"/>
                <w:szCs w:val="20"/>
                <w14:textFill>
                  <w14:solidFill>
                    <w14:schemeClr w14:val="tx1"/>
                  </w14:solidFill>
                </w14:textFill>
              </w:rPr>
            </w:pPr>
            <w:r>
              <w:rPr>
                <w:rFonts w:hint="eastAsia" w:ascii="Calibri" w:hAnsi="Calibri" w:eastAsia="宋体" w:cs="Times New Roman"/>
                <w:kern w:val="2"/>
                <w:sz w:val="24"/>
                <w:szCs w:val="24"/>
                <w:lang w:val="en-US" w:eastAsia="zh-CN" w:bidi="ar-SA"/>
              </w:rPr>
              <w:t>本项目为无仓储贸易经营，不涉及生产工艺。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36" w:hRule="atLeast"/>
          <w:jc w:val="center"/>
        </w:trPr>
        <w:tc>
          <w:tcPr>
            <w:tcW w:w="1435"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229"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r>
        <w:br w:type="page"/>
      </w:r>
    </w:p>
    <w:p>
      <w:pPr>
        <w:ind w:left="0" w:leftChars="0" w:firstLine="0" w:firstLineChars="0"/>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71135" cy="7030720"/>
            <wp:effectExtent l="0" t="0" r="5715" b="17780"/>
            <wp:docPr id="8" name="图片 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1"/>
                    <pic:cNvPicPr>
                      <a:picLocks noChangeAspect="1"/>
                    </pic:cNvPicPr>
                  </pic:nvPicPr>
                  <pic:blipFill>
                    <a:blip r:embed="rId13"/>
                    <a:stretch>
                      <a:fillRect/>
                    </a:stretch>
                  </pic:blipFill>
                  <pic:spPr>
                    <a:xfrm>
                      <a:off x="0" y="0"/>
                      <a:ext cx="5271135" cy="7030720"/>
                    </a:xfrm>
                    <a:prstGeom prst="rect">
                      <a:avLst/>
                    </a:prstGeom>
                  </pic:spPr>
                </pic:pic>
              </a:graphicData>
            </a:graphic>
          </wp:inline>
        </w:drawing>
      </w:r>
      <w:r>
        <w:rPr>
          <w:rFonts w:hint="eastAsia" w:eastAsia="宋体"/>
          <w:color w:val="auto"/>
          <w:highlight w:val="none"/>
          <w:lang w:eastAsia="zh-CN"/>
        </w:rPr>
        <w:drawing>
          <wp:inline distT="0" distB="0" distL="114300" distR="114300">
            <wp:extent cx="5264785" cy="3947160"/>
            <wp:effectExtent l="0" t="0" r="12065" b="15240"/>
            <wp:docPr id="9" name="图片 9" descr="西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西侧"/>
                    <pic:cNvPicPr>
                      <a:picLocks noChangeAspect="1"/>
                    </pic:cNvPicPr>
                  </pic:nvPicPr>
                  <pic:blipFill>
                    <a:blip r:embed="rId14"/>
                    <a:stretch>
                      <a:fillRect/>
                    </a:stretch>
                  </pic:blipFill>
                  <pic:spPr>
                    <a:xfrm>
                      <a:off x="0" y="0"/>
                      <a:ext cx="5264785" cy="3947160"/>
                    </a:xfrm>
                    <a:prstGeom prst="rect">
                      <a:avLst/>
                    </a:prstGeom>
                  </pic:spPr>
                </pic:pic>
              </a:graphicData>
            </a:graphic>
          </wp:inline>
        </w:drawing>
      </w:r>
    </w:p>
    <w:p>
      <w:pPr>
        <w:pStyle w:val="8"/>
        <w:rPr>
          <w:rFonts w:hint="eastAsia"/>
          <w:lang w:eastAsia="zh-CN"/>
        </w:rPr>
      </w:pPr>
    </w:p>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857500" cy="4290695"/>
            <wp:effectExtent l="0" t="0" r="0" b="14605"/>
            <wp:docPr id="13" name="图片 1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4."/>
                    <pic:cNvPicPr>
                      <a:picLocks noChangeAspect="1"/>
                    </pic:cNvPicPr>
                  </pic:nvPicPr>
                  <pic:blipFill>
                    <a:blip r:embed="rId15"/>
                    <a:stretch>
                      <a:fillRect/>
                    </a:stretch>
                  </pic:blipFill>
                  <pic:spPr>
                    <a:xfrm>
                      <a:off x="0" y="0"/>
                      <a:ext cx="2857500" cy="4290695"/>
                    </a:xfrm>
                    <a:prstGeom prst="rect">
                      <a:avLst/>
                    </a:prstGeom>
                  </pic:spPr>
                </pic:pic>
              </a:graphicData>
            </a:graphic>
          </wp:inline>
        </w:drawing>
      </w:r>
    </w:p>
    <w:p>
      <w:pPr>
        <w:rPr>
          <w:rFonts w:hint="eastAsia" w:eastAsia="宋体"/>
          <w:color w:val="auto"/>
          <w:highlight w:val="none"/>
          <w:lang w:eastAsia="zh-CN"/>
        </w:rPr>
      </w:pPr>
      <w:r>
        <w:rPr>
          <w:rFonts w:hint="eastAsia" w:eastAsia="宋体"/>
          <w:color w:val="auto"/>
          <w:highlight w:val="none"/>
          <w:lang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sz w:val="24"/>
                <w:szCs w:val="22"/>
                <w:lang w:eastAsia="zh-CN"/>
              </w:rPr>
              <w:t>高安市路通加油站</w:t>
            </w:r>
            <w:r>
              <w:rPr>
                <w:rFonts w:hint="eastAsia" w:ascii="宋体" w:hAnsi="宋体"/>
                <w:sz w:val="24"/>
                <w:szCs w:val="22"/>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2024年</w:t>
            </w:r>
            <w:r>
              <w:rPr>
                <w:rFonts w:hint="eastAsia" w:ascii="宋体" w:hAnsi="宋体" w:cs="宋体"/>
                <w:sz w:val="24"/>
                <w:lang w:val="en-US" w:eastAsia="zh-CN"/>
              </w:rPr>
              <w:t>7</w:t>
            </w:r>
            <w:r>
              <w:rPr>
                <w:rFonts w:hint="eastAsia" w:ascii="宋体" w:hAnsi="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rPr>
              <w:t>徐顺星</w:t>
            </w:r>
          </w:p>
        </w:tc>
        <w:tc>
          <w:tcPr>
            <w:tcW w:w="4803" w:type="dxa"/>
            <w:tcBorders>
              <w:tl2br w:val="nil"/>
              <w:tr2bl w:val="nil"/>
            </w:tcBorders>
            <w:shd w:val="clear" w:color="auto" w:fill="FFFFFF"/>
            <w:vAlign w:val="center"/>
          </w:tcPr>
          <w:p>
            <w:pPr>
              <w:spacing w:before="190" w:beforeLines="50" w:after="190" w:afterLines="50" w:line="240" w:lineRule="auto"/>
              <w:ind w:left="0" w:leftChars="0"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S011041000110192</w:t>
            </w:r>
          </w:p>
          <w:p>
            <w:pPr>
              <w:spacing w:before="190" w:beforeLines="50" w:after="190" w:afterLines="50" w:line="240" w:lineRule="auto"/>
              <w:ind w:left="0" w:leftChars="0" w:firstLine="0" w:firstLineChars="0"/>
              <w:jc w:val="center"/>
              <w:rPr>
                <w:sz w:val="24"/>
              </w:rPr>
            </w:pPr>
            <w:r>
              <w:rPr>
                <w:rFonts w:hint="eastAsia" w:ascii="宋体" w:hAnsi="宋体" w:eastAsia="宋体" w:cs="宋体"/>
                <w:color w:val="000000"/>
                <w:sz w:val="24"/>
                <w:szCs w:val="24"/>
              </w:rPr>
              <w:t>002229</w:t>
            </w:r>
          </w:p>
        </w:tc>
        <w:tc>
          <w:tcPr>
            <w:tcW w:w="2115" w:type="dxa"/>
            <w:tcBorders>
              <w:tl2br w:val="nil"/>
              <w:tr2bl w:val="nil"/>
            </w:tcBorders>
            <w:shd w:val="clear" w:color="auto" w:fill="FFFFFF"/>
            <w:vAlign w:val="center"/>
          </w:tcPr>
          <w:p>
            <w:pPr>
              <w:spacing w:before="190" w:beforeLines="50" w:after="190" w:afterLines="50" w:line="240" w:lineRule="auto"/>
              <w:ind w:left="0" w:leftChars="0" w:firstLine="0" w:firstLineChars="0"/>
              <w:jc w:val="center"/>
              <w:rPr>
                <w:sz w:val="24"/>
              </w:rPr>
            </w:pPr>
            <w:r>
              <w:rPr>
                <w:rFonts w:hint="eastAsia" w:ascii="宋体" w:hAnsi="宋体" w:eastAsia="宋体" w:cs="宋体"/>
                <w:color w:val="000000"/>
                <w:sz w:val="24"/>
                <w:szCs w:val="24"/>
              </w:rPr>
              <w:t>018803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lang w:val="en-US" w:eastAsia="zh-CN"/>
              </w:rPr>
              <w:t>吴红玉</w:t>
            </w:r>
          </w:p>
        </w:tc>
        <w:tc>
          <w:tcPr>
            <w:tcW w:w="4803" w:type="dxa"/>
            <w:tcBorders>
              <w:tl2br w:val="nil"/>
              <w:tr2bl w:val="nil"/>
            </w:tcBorders>
            <w:shd w:val="clear" w:color="auto" w:fill="FFFFFF"/>
            <w:vAlign w:val="center"/>
          </w:tcPr>
          <w:p>
            <w:pPr>
              <w:spacing w:before="190" w:beforeLines="50" w:after="190" w:afterLines="50" w:line="240" w:lineRule="auto"/>
              <w:ind w:left="0" w:leftChars="0" w:firstLine="0" w:firstLineChars="0"/>
              <w:jc w:val="center"/>
              <w:rPr>
                <w:sz w:val="24"/>
              </w:rPr>
            </w:pPr>
            <w:r>
              <w:rPr>
                <w:rFonts w:hint="eastAsia" w:ascii="宋体" w:hAnsi="宋体" w:eastAsia="宋体" w:cs="宋体"/>
                <w:color w:val="000000"/>
                <w:sz w:val="24"/>
                <w:szCs w:val="24"/>
              </w:rPr>
              <w:t>1200000000300398</w:t>
            </w:r>
          </w:p>
        </w:tc>
        <w:tc>
          <w:tcPr>
            <w:tcW w:w="2115" w:type="dxa"/>
            <w:tcBorders>
              <w:tl2br w:val="nil"/>
              <w:tr2bl w:val="nil"/>
            </w:tcBorders>
            <w:shd w:val="clear" w:color="auto" w:fill="FFFFFF"/>
            <w:vAlign w:val="center"/>
          </w:tcPr>
          <w:p>
            <w:pPr>
              <w:spacing w:before="190" w:beforeLines="50" w:after="190" w:afterLines="50" w:line="240" w:lineRule="auto"/>
              <w:ind w:left="0" w:leftChars="0" w:firstLine="0" w:firstLineChars="0"/>
              <w:jc w:val="center"/>
              <w:rPr>
                <w:sz w:val="24"/>
              </w:rPr>
            </w:pPr>
            <w:r>
              <w:rPr>
                <w:rFonts w:hint="eastAsia" w:ascii="宋体" w:hAnsi="宋体" w:eastAsia="宋体" w:cs="宋体"/>
                <w:color w:val="000000"/>
                <w:sz w:val="24"/>
                <w:szCs w:val="24"/>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rPr>
              <w:t>陈武斌</w:t>
            </w:r>
          </w:p>
        </w:tc>
        <w:tc>
          <w:tcPr>
            <w:tcW w:w="4803" w:type="dxa"/>
            <w:tcBorders>
              <w:tl2br w:val="nil"/>
              <w:tr2bl w:val="nil"/>
            </w:tcBorders>
            <w:shd w:val="clear" w:color="auto" w:fill="FFFFFF"/>
            <w:vAlign w:val="center"/>
          </w:tcPr>
          <w:p>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rPr>
              <w:t>1100000000300371</w:t>
            </w:r>
          </w:p>
        </w:tc>
        <w:tc>
          <w:tcPr>
            <w:tcW w:w="2115" w:type="dxa"/>
            <w:tcBorders>
              <w:tl2br w:val="nil"/>
              <w:tr2bl w:val="nil"/>
            </w:tcBorders>
            <w:shd w:val="clear" w:color="auto" w:fill="FFFFFF"/>
            <w:vAlign w:val="center"/>
          </w:tcPr>
          <w:p>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lang w:val="en-US" w:eastAsia="zh-CN"/>
              </w:rPr>
              <w:t>韦根远</w:t>
            </w:r>
          </w:p>
        </w:tc>
        <w:tc>
          <w:tcPr>
            <w:tcW w:w="4803" w:type="dxa"/>
            <w:tcBorders>
              <w:tl2br w:val="nil"/>
              <w:tr2bl w:val="nil"/>
            </w:tcBorders>
            <w:shd w:val="clear" w:color="auto" w:fill="FFFFFF"/>
            <w:vAlign w:val="center"/>
          </w:tcPr>
          <w:p>
            <w:pPr>
              <w:spacing w:before="190" w:beforeLines="50" w:after="190" w:afterLines="50" w:line="240" w:lineRule="auto"/>
              <w:ind w:left="0" w:leftChars="0" w:firstLine="0" w:firstLine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S011044000110191</w:t>
            </w:r>
          </w:p>
          <w:p>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lang w:val="en-US" w:eastAsia="zh-CN"/>
              </w:rPr>
              <w:t>001083</w:t>
            </w:r>
          </w:p>
        </w:tc>
        <w:tc>
          <w:tcPr>
            <w:tcW w:w="2115" w:type="dxa"/>
            <w:tcBorders>
              <w:tl2br w:val="nil"/>
              <w:tr2bl w:val="nil"/>
            </w:tcBorders>
            <w:shd w:val="clear" w:color="auto" w:fill="FFFFFF"/>
            <w:vAlign w:val="center"/>
          </w:tcPr>
          <w:p>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lang w:val="en-US" w:eastAsia="zh-CN"/>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rPr>
              <w:t>岳强</w:t>
            </w:r>
          </w:p>
        </w:tc>
        <w:tc>
          <w:tcPr>
            <w:tcW w:w="4803" w:type="dxa"/>
            <w:tcBorders>
              <w:tl2br w:val="nil"/>
              <w:tr2bl w:val="nil"/>
            </w:tcBorders>
            <w:shd w:val="clear" w:color="auto" w:fill="FFFFFF"/>
            <w:vAlign w:val="center"/>
          </w:tcPr>
          <w:p>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rPr>
              <w:t>0800000000102212</w:t>
            </w:r>
          </w:p>
        </w:tc>
        <w:tc>
          <w:tcPr>
            <w:tcW w:w="2115" w:type="dxa"/>
            <w:tcBorders>
              <w:tl2br w:val="nil"/>
              <w:tr2bl w:val="nil"/>
            </w:tcBorders>
            <w:shd w:val="clear" w:color="auto" w:fill="FFFFFF"/>
            <w:vAlign w:val="center"/>
          </w:tcPr>
          <w:p>
            <w:pPr>
              <w:spacing w:before="190" w:beforeLines="50" w:after="190" w:afterLines="50" w:line="240" w:lineRule="auto"/>
              <w:ind w:left="0" w:leftChars="0" w:firstLine="0" w:firstLineChars="0"/>
              <w:jc w:val="center"/>
              <w:rPr>
                <w:rFonts w:ascii="Times New Roman" w:hAnsi="Times New Roman"/>
                <w:sz w:val="24"/>
              </w:rPr>
            </w:pPr>
            <w:r>
              <w:rPr>
                <w:rFonts w:hint="eastAsia" w:ascii="宋体" w:hAnsi="宋体" w:eastAsia="宋体" w:cs="宋体"/>
                <w:color w:val="000000"/>
                <w:sz w:val="24"/>
                <w:szCs w:val="24"/>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徐顺星</w:t>
            </w:r>
            <w:r>
              <w:rPr>
                <w:rFonts w:hint="eastAsia"/>
                <w:color w:val="000000"/>
                <w:sz w:val="24"/>
              </w:rPr>
              <w:t>、</w:t>
            </w:r>
            <w:r>
              <w:rPr>
                <w:rFonts w:hint="eastAsia" w:ascii="Times New Roman" w:hAnsi="Times New Roman"/>
                <w:sz w:val="24"/>
              </w:rPr>
              <w:t>吴红玉</w:t>
            </w:r>
            <w:r>
              <w:rPr>
                <w:rFonts w:hint="eastAsia"/>
                <w:sz w:val="24"/>
              </w:rPr>
              <w:t>2024.</w:t>
            </w:r>
            <w:r>
              <w:rPr>
                <w:rFonts w:hint="eastAsia"/>
                <w:sz w:val="24"/>
                <w:lang w:val="en-US" w:eastAsia="zh-CN"/>
              </w:rPr>
              <w:t>6</w:t>
            </w:r>
            <w:r>
              <w:rPr>
                <w:rFonts w:hint="eastAsia"/>
                <w:sz w:val="24"/>
              </w:rPr>
              <w:t>.</w:t>
            </w:r>
            <w:r>
              <w:rPr>
                <w:rFonts w:hint="eastAsia"/>
                <w:sz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rPr>
              <w:t>徐顺星</w:t>
            </w:r>
            <w:r>
              <w:rPr>
                <w:rFonts w:hint="eastAsia"/>
                <w:color w:val="000000"/>
                <w:sz w:val="24"/>
              </w:rPr>
              <w:t>、</w:t>
            </w:r>
            <w:r>
              <w:rPr>
                <w:rFonts w:hint="eastAsia" w:ascii="Times New Roman" w:hAnsi="Times New Roman"/>
                <w:sz w:val="24"/>
              </w:rPr>
              <w:t>吴红玉</w:t>
            </w:r>
            <w:r>
              <w:rPr>
                <w:rFonts w:hint="eastAsia"/>
                <w:sz w:val="24"/>
              </w:rPr>
              <w:t>2024.</w:t>
            </w:r>
            <w:r>
              <w:rPr>
                <w:rFonts w:hint="eastAsia"/>
                <w:sz w:val="24"/>
                <w:lang w:val="en-US" w:eastAsia="zh-CN"/>
              </w:rPr>
              <w:t>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pPr>
              <w:ind w:firstLine="560"/>
              <w:rPr>
                <w:rFonts w:hint="eastAsia"/>
              </w:rPr>
            </w:pPr>
            <w:r>
              <w:rPr>
                <w:rFonts w:hint="eastAsia"/>
                <w:lang w:eastAsia="zh-CN"/>
              </w:rPr>
              <w:t>高安市路通加油站</w:t>
            </w:r>
            <w:r>
              <w:rPr>
                <w:rFonts w:hint="eastAsia"/>
              </w:rPr>
              <w:t>（简称“该加油站”）于2021年05月12日注册成立。主营产品是汽油和柴油。</w:t>
            </w:r>
          </w:p>
          <w:p>
            <w:pPr>
              <w:ind w:firstLine="560"/>
              <w:rPr>
                <w:rFonts w:hint="eastAsia"/>
              </w:rPr>
            </w:pPr>
            <w:r>
              <w:rPr>
                <w:rFonts w:hint="eastAsia"/>
              </w:rPr>
              <w:t>该加油站位于宜春市高安市相城镇相太公路北侧，法定代表人为熊细根。高安市市场监督管理局办理营业执照（统一社会信用代码：91360983MA3AEXW60Q），并已取得宜春市行政审批局颁发的成品油零售经营批准证书（油零售证书第 赣宜0148号）及高安市应急管理局颁发的危险化学品经营许可证{赣宜危化经字〔2021〕510441号}。</w:t>
            </w:r>
          </w:p>
          <w:p>
            <w:pPr>
              <w:ind w:firstLine="560"/>
              <w:rPr>
                <w:rFonts w:hint="eastAsia"/>
              </w:rPr>
            </w:pPr>
            <w:r>
              <w:rPr>
                <w:rFonts w:hint="eastAsia"/>
              </w:rPr>
              <w:t>该加油站有6台加油机，有4个油罐，2个50m30#柴油埋地卧式双层罐，1个50m392#汽油埋地卧式双层罐，1个50m395#汽油埋地卧式双层罐，油品储量折算为150m³（柴油折半计算）。站内职工人员6人。按照《汽车加油加气加氢站技术标准》（GB50156-2021）中对加油站等级的划分，该加油站为二级加油站。</w:t>
            </w:r>
          </w:p>
          <w:p>
            <w:pPr>
              <w:ind w:firstLine="560"/>
              <w:rPr>
                <w:rFonts w:hint="eastAsia"/>
              </w:rPr>
            </w:pPr>
            <w:r>
              <w:rPr>
                <w:rFonts w:hint="eastAsia"/>
              </w:rPr>
              <w:t>该加油站主要经营汽油和柴油，其中，汽油的火灾危险性类别为甲类，其蒸汽与空气能形成爆炸性混合气体，遇明火、高热易燃烧爆炸。</w:t>
            </w:r>
          </w:p>
          <w:p>
            <w:pPr>
              <w:ind w:firstLine="560"/>
            </w:pPr>
            <w:r>
              <w:rPr>
                <w:rFonts w:hint="eastAsia"/>
              </w:rPr>
              <w:t>根据装置区及设施的主要危险部位和其存在的危险、有害物质，经综合分析，潜在的主要危险、危害因素有：火灾、爆炸、触电、坍塌、车辆伤害、中毒、窒息、高处坠落、物体打击、自然灾害等。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pPr>
            <w:r>
              <w:rPr>
                <w:rFonts w:hint="eastAsia"/>
                <w:sz w:val="24"/>
              </w:rPr>
              <w:t>工艺流程</w:t>
            </w:r>
          </w:p>
        </w:tc>
        <w:tc>
          <w:tcPr>
            <w:tcW w:w="8155" w:type="dxa"/>
            <w:gridSpan w:val="3"/>
            <w:tcBorders>
              <w:tl2br w:val="nil"/>
              <w:tr2bl w:val="nil"/>
            </w:tcBorders>
            <w:shd w:val="clear" w:color="auto" w:fill="FFFFFF"/>
          </w:tcPr>
          <w:p>
            <w:pPr>
              <w:pStyle w:val="10"/>
              <w:rPr>
                <w:rFonts w:hint="eastAsia"/>
              </w:rPr>
            </w:pPr>
            <w:r>
              <w:rPr>
                <w:rFonts w:hint="eastAsia"/>
              </w:rPr>
              <w:t>1、卸油工艺流程</w:t>
            </w:r>
          </w:p>
          <w:p>
            <w:pPr>
              <w:pStyle w:val="10"/>
              <w:rPr>
                <w:rFonts w:hint="eastAsia"/>
              </w:rPr>
            </w:pPr>
            <w:r>
              <w:rPr>
                <w:rFonts w:hint="eastAsia"/>
              </w:rPr>
              <w:t>卸油：加油站采用油罐车经连通软管与油罐卸油口连通卸油的方式卸油。装满汽油、柴油的油槽车到达加油站罐区后，在油罐附近停稳熄火，静止十五分钟以后，接好静电接地装置，将连通软管与油罐车的卸油口、储罐的进油口利用密闭快速接头连接好后开始卸油。油品卸完后，拆除连通软管，人工封闭好油罐进口和罐车卸油口，拆除静电接地装置，发动油品罐车缓慢离开罐区。</w:t>
            </w:r>
          </w:p>
          <w:p>
            <w:pPr>
              <w:pStyle w:val="10"/>
              <w:rPr>
                <w:rFonts w:hint="eastAsia"/>
              </w:rPr>
            </w:pPr>
            <w:r>
              <w:rPr>
                <w:rFonts w:hint="eastAsia"/>
              </w:rPr>
              <w:t>该加油站设置汽油卸油油气回收管线，将汽油油罐车卸油过程中经通气管散溢的油气，通过油气回收地下工艺管线及油气回收软管重新收集至汽油油罐车内，实现卸油与油气等体积置换。</w:t>
            </w:r>
          </w:p>
          <w:p>
            <w:pPr>
              <w:pStyle w:val="10"/>
              <w:rPr>
                <w:rFonts w:hint="eastAsia"/>
              </w:rPr>
            </w:pPr>
            <w:r>
              <w:rPr>
                <w:rFonts w:hint="eastAsia"/>
              </w:rPr>
              <w:t>2、加油工艺流程</w:t>
            </w:r>
          </w:p>
          <w:p>
            <w:pPr>
              <w:pStyle w:val="10"/>
              <w:rPr>
                <w:rFonts w:hint="eastAsia"/>
              </w:rPr>
            </w:pPr>
            <w:r>
              <w:rPr>
                <w:rFonts w:hint="eastAsia"/>
              </w:rPr>
              <w:t>加油作业时，利用潜油泵提供的动力，油品通过加油管道至加油机，进入受油容器。该加油站已安装了二级油气回收系统，采用分散式油气回收，即油气回收真空泵分散安装在每台加油机内，加油机加油时通过油气回收专用油枪，油气回收胶管，回收真空泵等产品和部件组成的回收系统将油气回收至地下油罐。</w:t>
            </w:r>
          </w:p>
          <w:p/>
          <w:p/>
          <w:p>
            <w:pPr>
              <w:ind w:firstLine="362"/>
              <w:jc w:val="left"/>
            </w:pPr>
          </w:p>
          <w:p>
            <w:pPr>
              <w:pStyle w:val="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pPr>
        <w:rPr>
          <w:rFonts w:hint="eastAsia"/>
          <w:lang w:eastAsia="zh-CN"/>
        </w:rPr>
      </w:pPr>
      <w:r>
        <w:rPr>
          <w:rFonts w:hint="eastAsia"/>
          <w:lang w:eastAsia="zh-CN"/>
        </w:rPr>
        <w:br w:type="page"/>
      </w:r>
    </w:p>
    <w:p>
      <w:pPr>
        <w:pStyle w:val="2"/>
        <w:rPr>
          <w:rFonts w:hint="eastAsia"/>
          <w:lang w:eastAsia="zh-CN"/>
        </w:rPr>
      </w:pPr>
      <w:r>
        <w:rPr>
          <w:rFonts w:hint="eastAsia"/>
          <w:lang w:eastAsia="zh-CN"/>
        </w:rPr>
        <w:drawing>
          <wp:inline distT="0" distB="0" distL="114300" distR="114300">
            <wp:extent cx="5262880" cy="7019925"/>
            <wp:effectExtent l="0" t="0" r="13970" b="9525"/>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pic:cNvPicPr>
                  </pic:nvPicPr>
                  <pic:blipFill>
                    <a:blip r:embed="rId16"/>
                    <a:stretch>
                      <a:fillRect/>
                    </a:stretch>
                  </pic:blipFill>
                  <pic:spPr>
                    <a:xfrm>
                      <a:off x="0" y="0"/>
                      <a:ext cx="5262880" cy="7019925"/>
                    </a:xfrm>
                    <a:prstGeom prst="rect">
                      <a:avLst/>
                    </a:prstGeom>
                  </pic:spPr>
                </pic:pic>
              </a:graphicData>
            </a:graphic>
          </wp:inline>
        </w:drawing>
      </w:r>
    </w:p>
    <w:p>
      <w:pPr>
        <w:rPr>
          <w:rFonts w:hint="eastAsia"/>
          <w:lang w:eastAsia="zh-CN"/>
        </w:rPr>
      </w:pPr>
      <w:r>
        <w:rPr>
          <w:rFonts w:hint="eastAsia"/>
          <w:lang w:eastAsia="zh-CN"/>
        </w:rPr>
        <w:br w:type="page"/>
      </w:r>
    </w:p>
    <w:p>
      <w:pPr>
        <w:rPr>
          <w:rFonts w:hint="eastAsia"/>
          <w:lang w:eastAsia="zh-CN"/>
        </w:rPr>
      </w:pPr>
      <w:r>
        <w:rPr>
          <w:rFonts w:hint="eastAsia"/>
          <w:lang w:eastAsia="zh-CN"/>
        </w:rPr>
        <w:drawing>
          <wp:inline distT="0" distB="0" distL="114300" distR="114300">
            <wp:extent cx="5262880" cy="7019925"/>
            <wp:effectExtent l="0" t="0" r="13970" b="9525"/>
            <wp:docPr id="16" name="图片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
                    <pic:cNvPicPr>
                      <a:picLocks noChangeAspect="1"/>
                    </pic:cNvPicPr>
                  </pic:nvPicPr>
                  <pic:blipFill>
                    <a:blip r:embed="rId17"/>
                    <a:stretch>
                      <a:fillRect/>
                    </a:stretch>
                  </pic:blipFill>
                  <pic:spPr>
                    <a:xfrm>
                      <a:off x="0" y="0"/>
                      <a:ext cx="5262880" cy="7019925"/>
                    </a:xfrm>
                    <a:prstGeom prst="rect">
                      <a:avLst/>
                    </a:prstGeom>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zMjdiZTZhYWEwMDUyMzMwMzdhZWM2ZmNjMGMzMDkifQ=="/>
    <w:docVar w:name="KSO_WPS_MARK_KEY" w:val="f0c94484-18bf-41d0-a894-232196517eb0"/>
  </w:docVars>
  <w:rsids>
    <w:rsidRoot w:val="00E3751A"/>
    <w:rsid w:val="00047227"/>
    <w:rsid w:val="002012A2"/>
    <w:rsid w:val="00303C12"/>
    <w:rsid w:val="003A7C06"/>
    <w:rsid w:val="004340C8"/>
    <w:rsid w:val="00443349"/>
    <w:rsid w:val="004D1AF7"/>
    <w:rsid w:val="005858BE"/>
    <w:rsid w:val="00756850"/>
    <w:rsid w:val="00787BD2"/>
    <w:rsid w:val="007A2261"/>
    <w:rsid w:val="00802085"/>
    <w:rsid w:val="008F01AE"/>
    <w:rsid w:val="009570B9"/>
    <w:rsid w:val="00C341C7"/>
    <w:rsid w:val="00C75118"/>
    <w:rsid w:val="00C82162"/>
    <w:rsid w:val="00D40559"/>
    <w:rsid w:val="00E3751A"/>
    <w:rsid w:val="00F46A10"/>
    <w:rsid w:val="00F60933"/>
    <w:rsid w:val="00FF47EE"/>
    <w:rsid w:val="01381A2C"/>
    <w:rsid w:val="030516AD"/>
    <w:rsid w:val="03463A74"/>
    <w:rsid w:val="03C37305"/>
    <w:rsid w:val="04334FFF"/>
    <w:rsid w:val="04543719"/>
    <w:rsid w:val="045937F4"/>
    <w:rsid w:val="04664971"/>
    <w:rsid w:val="04714B20"/>
    <w:rsid w:val="04D11406"/>
    <w:rsid w:val="04E23328"/>
    <w:rsid w:val="050505ED"/>
    <w:rsid w:val="06007F0A"/>
    <w:rsid w:val="062E2CC9"/>
    <w:rsid w:val="06EF6353"/>
    <w:rsid w:val="07D32EB9"/>
    <w:rsid w:val="07E46E00"/>
    <w:rsid w:val="0814540D"/>
    <w:rsid w:val="08300409"/>
    <w:rsid w:val="08302FF8"/>
    <w:rsid w:val="0845254C"/>
    <w:rsid w:val="08E81855"/>
    <w:rsid w:val="08ED0200"/>
    <w:rsid w:val="0946657C"/>
    <w:rsid w:val="096769A3"/>
    <w:rsid w:val="096F1B10"/>
    <w:rsid w:val="09806C85"/>
    <w:rsid w:val="09A37E9F"/>
    <w:rsid w:val="0A0E1339"/>
    <w:rsid w:val="0A173A74"/>
    <w:rsid w:val="0A4F7A65"/>
    <w:rsid w:val="0BC750FD"/>
    <w:rsid w:val="0C370800"/>
    <w:rsid w:val="0D073DB5"/>
    <w:rsid w:val="0D081033"/>
    <w:rsid w:val="0E564C35"/>
    <w:rsid w:val="0EC817E1"/>
    <w:rsid w:val="0F1C6141"/>
    <w:rsid w:val="0FFD1618"/>
    <w:rsid w:val="10806817"/>
    <w:rsid w:val="10A546BD"/>
    <w:rsid w:val="10AD0B5D"/>
    <w:rsid w:val="10AE1BD9"/>
    <w:rsid w:val="10D96D50"/>
    <w:rsid w:val="13337B71"/>
    <w:rsid w:val="13FA1B12"/>
    <w:rsid w:val="141C622E"/>
    <w:rsid w:val="147F5532"/>
    <w:rsid w:val="14D001B2"/>
    <w:rsid w:val="156C314D"/>
    <w:rsid w:val="15CB68F5"/>
    <w:rsid w:val="16B10157"/>
    <w:rsid w:val="172B1294"/>
    <w:rsid w:val="17505468"/>
    <w:rsid w:val="1752433D"/>
    <w:rsid w:val="17550DB0"/>
    <w:rsid w:val="17810296"/>
    <w:rsid w:val="17C601C4"/>
    <w:rsid w:val="18301429"/>
    <w:rsid w:val="18351C95"/>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F0F5E71"/>
    <w:rsid w:val="1F142A61"/>
    <w:rsid w:val="1F373426"/>
    <w:rsid w:val="1F642D26"/>
    <w:rsid w:val="1FAC2BD1"/>
    <w:rsid w:val="1FF45CE7"/>
    <w:rsid w:val="2107263D"/>
    <w:rsid w:val="21313216"/>
    <w:rsid w:val="214C4107"/>
    <w:rsid w:val="21A13C43"/>
    <w:rsid w:val="22366385"/>
    <w:rsid w:val="224031F6"/>
    <w:rsid w:val="2282270A"/>
    <w:rsid w:val="229735F9"/>
    <w:rsid w:val="22AD2D70"/>
    <w:rsid w:val="2353290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D9110B"/>
    <w:rsid w:val="2C9D3BC7"/>
    <w:rsid w:val="2CF2686E"/>
    <w:rsid w:val="2E9E272A"/>
    <w:rsid w:val="2EAE6403"/>
    <w:rsid w:val="2F1A2DE5"/>
    <w:rsid w:val="2F5C124E"/>
    <w:rsid w:val="31055C5A"/>
    <w:rsid w:val="3256187C"/>
    <w:rsid w:val="3259568C"/>
    <w:rsid w:val="32A66941"/>
    <w:rsid w:val="334B2415"/>
    <w:rsid w:val="339918AA"/>
    <w:rsid w:val="33BD2F62"/>
    <w:rsid w:val="33C148CD"/>
    <w:rsid w:val="341F407D"/>
    <w:rsid w:val="34BD4A82"/>
    <w:rsid w:val="351530F3"/>
    <w:rsid w:val="35211925"/>
    <w:rsid w:val="35524794"/>
    <w:rsid w:val="36577381"/>
    <w:rsid w:val="366115C7"/>
    <w:rsid w:val="368F242B"/>
    <w:rsid w:val="37285AB1"/>
    <w:rsid w:val="375C6F30"/>
    <w:rsid w:val="3781684D"/>
    <w:rsid w:val="3823766B"/>
    <w:rsid w:val="396748BA"/>
    <w:rsid w:val="3A751F6D"/>
    <w:rsid w:val="3AB6680E"/>
    <w:rsid w:val="3AD61658"/>
    <w:rsid w:val="3ADD7367"/>
    <w:rsid w:val="3AF50232"/>
    <w:rsid w:val="3B251FB8"/>
    <w:rsid w:val="3B3712DA"/>
    <w:rsid w:val="3B622014"/>
    <w:rsid w:val="3BFC6477"/>
    <w:rsid w:val="3C7D28D5"/>
    <w:rsid w:val="3C9506A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6F56910"/>
    <w:rsid w:val="47EE36B2"/>
    <w:rsid w:val="485E76F8"/>
    <w:rsid w:val="48AF6D87"/>
    <w:rsid w:val="49CE6C17"/>
    <w:rsid w:val="4CDE060B"/>
    <w:rsid w:val="4E3D5914"/>
    <w:rsid w:val="4E461B89"/>
    <w:rsid w:val="4F4C1097"/>
    <w:rsid w:val="4F844CD5"/>
    <w:rsid w:val="4FF32FA8"/>
    <w:rsid w:val="50EA0B03"/>
    <w:rsid w:val="512A57AB"/>
    <w:rsid w:val="515A3854"/>
    <w:rsid w:val="5276471A"/>
    <w:rsid w:val="52B20F97"/>
    <w:rsid w:val="52CC47C0"/>
    <w:rsid w:val="52E07D49"/>
    <w:rsid w:val="5374510A"/>
    <w:rsid w:val="53F5005F"/>
    <w:rsid w:val="550C37A2"/>
    <w:rsid w:val="563D2137"/>
    <w:rsid w:val="56836AB2"/>
    <w:rsid w:val="56BC2DE3"/>
    <w:rsid w:val="56D42C4D"/>
    <w:rsid w:val="56EF512A"/>
    <w:rsid w:val="57301D47"/>
    <w:rsid w:val="57487036"/>
    <w:rsid w:val="575D6537"/>
    <w:rsid w:val="57800B40"/>
    <w:rsid w:val="57CD2DFE"/>
    <w:rsid w:val="58244FE5"/>
    <w:rsid w:val="584B13F6"/>
    <w:rsid w:val="59217B49"/>
    <w:rsid w:val="59656964"/>
    <w:rsid w:val="59D926D2"/>
    <w:rsid w:val="5A034680"/>
    <w:rsid w:val="5AA52A54"/>
    <w:rsid w:val="5BC05975"/>
    <w:rsid w:val="5BD743DE"/>
    <w:rsid w:val="5C3A1541"/>
    <w:rsid w:val="5CA15F65"/>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98413C"/>
    <w:rsid w:val="60B44CEE"/>
    <w:rsid w:val="60B460AF"/>
    <w:rsid w:val="619747AF"/>
    <w:rsid w:val="621C336D"/>
    <w:rsid w:val="629E5C56"/>
    <w:rsid w:val="62A05F08"/>
    <w:rsid w:val="62EA5BC6"/>
    <w:rsid w:val="630737FB"/>
    <w:rsid w:val="63C25DAA"/>
    <w:rsid w:val="64126CC6"/>
    <w:rsid w:val="648F0582"/>
    <w:rsid w:val="64F540D9"/>
    <w:rsid w:val="6559245A"/>
    <w:rsid w:val="65622F6B"/>
    <w:rsid w:val="658C415A"/>
    <w:rsid w:val="65BD6D5B"/>
    <w:rsid w:val="66C53C4A"/>
    <w:rsid w:val="673B297E"/>
    <w:rsid w:val="678F323C"/>
    <w:rsid w:val="67F105D6"/>
    <w:rsid w:val="68233EA0"/>
    <w:rsid w:val="68A30209"/>
    <w:rsid w:val="68C86C57"/>
    <w:rsid w:val="69C2222A"/>
    <w:rsid w:val="6AA57F27"/>
    <w:rsid w:val="6CC37EB5"/>
    <w:rsid w:val="6D1139EB"/>
    <w:rsid w:val="6D3457FF"/>
    <w:rsid w:val="6E2A4841"/>
    <w:rsid w:val="6EEF19E2"/>
    <w:rsid w:val="6F3D1DEF"/>
    <w:rsid w:val="6F963F3C"/>
    <w:rsid w:val="6FB940CF"/>
    <w:rsid w:val="6FE54B28"/>
    <w:rsid w:val="71276AD1"/>
    <w:rsid w:val="7160445C"/>
    <w:rsid w:val="71697143"/>
    <w:rsid w:val="716C6A50"/>
    <w:rsid w:val="7207397B"/>
    <w:rsid w:val="729E3A33"/>
    <w:rsid w:val="72C43B37"/>
    <w:rsid w:val="73670AB5"/>
    <w:rsid w:val="737D1DEA"/>
    <w:rsid w:val="748B2EA1"/>
    <w:rsid w:val="74AE0F56"/>
    <w:rsid w:val="76391AC6"/>
    <w:rsid w:val="7672193D"/>
    <w:rsid w:val="770403EE"/>
    <w:rsid w:val="771C50B0"/>
    <w:rsid w:val="771E190D"/>
    <w:rsid w:val="77832F9B"/>
    <w:rsid w:val="77C519A6"/>
    <w:rsid w:val="784004D1"/>
    <w:rsid w:val="78725E9B"/>
    <w:rsid w:val="7877129B"/>
    <w:rsid w:val="787B0173"/>
    <w:rsid w:val="79302291"/>
    <w:rsid w:val="797D7F1B"/>
    <w:rsid w:val="79FE7AE0"/>
    <w:rsid w:val="7A083C89"/>
    <w:rsid w:val="7AA15E8B"/>
    <w:rsid w:val="7B424553"/>
    <w:rsid w:val="7BB96559"/>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5"/>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5">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6">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rPr>
      <w:sz w:val="28"/>
      <w:szCs w:val="28"/>
    </w:rPr>
  </w:style>
  <w:style w:type="paragraph" w:styleId="7">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8">
    <w:name w:val="Body Text Indent"/>
    <w:basedOn w:val="1"/>
    <w:next w:val="2"/>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99"/>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2"/>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next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17</Pages>
  <Words>3698</Words>
  <Characters>4637</Characters>
  <Lines>26</Lines>
  <Paragraphs>7</Paragraphs>
  <TotalTime>0</TotalTime>
  <ScaleCrop>false</ScaleCrop>
  <LinksUpToDate>false</LinksUpToDate>
  <CharactersWithSpaces>4661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2024-08-14T02:12:06Z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B15CA320DB7E4F559DF250D9D5F91EF3_13</vt:lpwstr>
  </property>
</Properties>
</file>