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lang w:eastAsia="zh-CN"/>
              </w:rPr>
              <w:t>吉安市吉州气体有限公司吉州区气体充装经营项目（一期）</w:t>
            </w:r>
            <w:r>
              <w:rPr>
                <w:rFonts w:hint="eastAsia" w:ascii="宋体" w:hAnsi="宋体"/>
                <w:sz w:val="24"/>
                <w:szCs w:val="22"/>
              </w:rPr>
              <w:t>安全</w:t>
            </w:r>
            <w:r>
              <w:rPr>
                <w:rFonts w:hint="eastAsia" w:ascii="宋体" w:hAnsi="宋体"/>
                <w:sz w:val="24"/>
                <w:szCs w:val="22"/>
                <w:lang w:val="en-US" w:eastAsia="zh-CN"/>
              </w:rPr>
              <w:t>条件</w:t>
            </w:r>
            <w:r>
              <w:rPr>
                <w:rFonts w:hint="eastAsia" w:ascii="宋体" w:hAnsi="宋体"/>
                <w:sz w:val="24"/>
                <w:szCs w:val="22"/>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6</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熊克书</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S011035000110192001546</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陈武斌</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谢雨飞</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CAWS350000230200227</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岳强</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0800000000102212</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sz w:val="24"/>
                <w:lang w:val="en-US" w:eastAsia="zh-CN"/>
              </w:rPr>
              <w:t>熊克书20240510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rFonts w:eastAsia="宋体" w:cs="Times New Roman"/>
                <w:color w:val="auto"/>
                <w:highlight w:val="none"/>
              </w:rPr>
            </w:pPr>
            <w:r>
              <w:rPr>
                <w:rFonts w:hint="eastAsia"/>
                <w:color w:val="auto"/>
                <w:highlight w:val="none"/>
                <w:lang w:eastAsia="zh-CN"/>
              </w:rPr>
              <w:t>吉安市吉州气体有限公司</w:t>
            </w:r>
            <w:r>
              <w:rPr>
                <w:color w:val="auto"/>
                <w:highlight w:val="none"/>
              </w:rPr>
              <w:t>成立于</w:t>
            </w:r>
            <w:r>
              <w:rPr>
                <w:rFonts w:hint="eastAsia"/>
                <w:color w:val="auto"/>
                <w:highlight w:val="none"/>
                <w:lang w:eastAsia="zh-CN"/>
              </w:rPr>
              <w:t>2002年11月22日</w:t>
            </w:r>
            <w:r>
              <w:rPr>
                <w:color w:val="auto"/>
                <w:highlight w:val="none"/>
              </w:rPr>
              <w:t>，并取得</w:t>
            </w:r>
            <w:r>
              <w:rPr>
                <w:rFonts w:hint="eastAsia"/>
                <w:color w:val="auto"/>
                <w:highlight w:val="none"/>
                <w:lang w:val="en-US" w:eastAsia="zh-CN"/>
              </w:rPr>
              <w:t>吉安市</w:t>
            </w:r>
            <w:r>
              <w:rPr>
                <w:color w:val="auto"/>
                <w:highlight w:val="none"/>
              </w:rPr>
              <w:t>市场监督管理局颁发的《营业执照》，营业执照统一社会信用代码：</w:t>
            </w:r>
            <w:r>
              <w:rPr>
                <w:rFonts w:hint="eastAsia"/>
                <w:color w:val="auto"/>
                <w:highlight w:val="none"/>
                <w:lang w:eastAsia="zh-CN"/>
              </w:rPr>
              <w:t>91360800744280762H</w:t>
            </w:r>
            <w:r>
              <w:rPr>
                <w:rFonts w:hint="eastAsia"/>
                <w:color w:val="auto"/>
                <w:highlight w:val="none"/>
              </w:rPr>
              <w:t>。公司注册住所：</w:t>
            </w:r>
            <w:r>
              <w:rPr>
                <w:rFonts w:hint="eastAsia"/>
                <w:color w:val="auto"/>
                <w:highlight w:val="none"/>
                <w:lang w:eastAsia="zh-CN"/>
              </w:rPr>
              <w:t>江西省吉安市吉州区石溪头</w:t>
            </w:r>
            <w:r>
              <w:rPr>
                <w:color w:val="auto"/>
                <w:highlight w:val="none"/>
              </w:rPr>
              <w:t>。法定代表人：</w:t>
            </w:r>
            <w:r>
              <w:rPr>
                <w:rFonts w:hint="eastAsia"/>
                <w:color w:val="auto"/>
                <w:highlight w:val="none"/>
                <w:lang w:eastAsia="zh-CN"/>
              </w:rPr>
              <w:t>王宝珍</w:t>
            </w:r>
            <w:r>
              <w:rPr>
                <w:color w:val="auto"/>
                <w:highlight w:val="none"/>
              </w:rPr>
              <w:t>。注册资本</w:t>
            </w:r>
            <w:r>
              <w:rPr>
                <w:rFonts w:hint="eastAsia"/>
                <w:color w:val="auto"/>
                <w:highlight w:val="none"/>
                <w:lang w:eastAsia="zh-CN"/>
              </w:rPr>
              <w:t>200万元</w:t>
            </w:r>
            <w:r>
              <w:rPr>
                <w:color w:val="auto"/>
                <w:highlight w:val="none"/>
              </w:rPr>
              <w:t>。企业性质为</w:t>
            </w:r>
            <w:r>
              <w:rPr>
                <w:rFonts w:hint="eastAsia"/>
                <w:color w:val="auto"/>
                <w:highlight w:val="none"/>
                <w:lang w:eastAsia="zh-CN"/>
              </w:rPr>
              <w:t>有限责任公司（自然人独资）</w:t>
            </w:r>
            <w:r>
              <w:rPr>
                <w:color w:val="auto"/>
                <w:highlight w:val="none"/>
              </w:rPr>
              <w:t>。</w:t>
            </w:r>
            <w:r>
              <w:rPr>
                <w:rFonts w:hint="eastAsia"/>
                <w:color w:val="auto"/>
                <w:highlight w:val="none"/>
                <w:lang w:val="en-US" w:eastAsia="zh-CN"/>
              </w:rPr>
              <w:t>该公司根据规划和发展要求及配合政府公益性建设需要，拟决定在吉安市吉州区中小企业创业园新征用地33.34亩，异地重建气体充装经</w:t>
            </w:r>
            <w:r>
              <w:rPr>
                <w:rFonts w:hint="eastAsia" w:eastAsia="宋体" w:cs="Times New Roman"/>
                <w:color w:val="auto"/>
                <w:highlight w:val="none"/>
                <w:lang w:val="en-US" w:eastAsia="zh-CN"/>
              </w:rPr>
              <w:t>营项目</w:t>
            </w:r>
            <w:r>
              <w:rPr>
                <w:rFonts w:hint="eastAsia" w:eastAsia="宋体" w:cs="Times New Roman"/>
                <w:color w:val="auto"/>
                <w:highlight w:val="none"/>
              </w:rPr>
              <w:t>。</w:t>
            </w:r>
          </w:p>
          <w:p>
            <w:pPr>
              <w:ind w:firstLine="560"/>
              <w:rPr>
                <w:sz w:val="24"/>
              </w:rPr>
            </w:pPr>
            <w:r>
              <w:rPr>
                <w:rFonts w:hint="eastAsia" w:eastAsia="宋体" w:cs="Times New Roman"/>
                <w:color w:val="auto"/>
                <w:highlight w:val="none"/>
              </w:rPr>
              <w:t xml:space="preserve">  该公司拟投资</w:t>
            </w:r>
            <w:r>
              <w:rPr>
                <w:rFonts w:hint="eastAsia" w:eastAsia="宋体" w:cs="Times New Roman"/>
                <w:color w:val="auto"/>
                <w:highlight w:val="none"/>
                <w:lang w:eastAsia="zh-CN"/>
              </w:rPr>
              <w:t>12000</w:t>
            </w:r>
            <w:r>
              <w:rPr>
                <w:rFonts w:hint="eastAsia" w:eastAsia="宋体" w:cs="Times New Roman"/>
                <w:color w:val="auto"/>
                <w:highlight w:val="none"/>
              </w:rPr>
              <w:t>万元，</w:t>
            </w:r>
            <w:r>
              <w:rPr>
                <w:rFonts w:hint="eastAsia" w:eastAsia="宋体" w:cs="Times New Roman"/>
                <w:color w:val="auto"/>
                <w:highlight w:val="none"/>
                <w:lang w:eastAsia="zh-CN"/>
              </w:rPr>
              <w:t>在</w:t>
            </w:r>
            <w:r>
              <w:rPr>
                <w:rFonts w:hint="eastAsia" w:eastAsia="宋体" w:cs="Times New Roman"/>
                <w:color w:val="auto"/>
                <w:highlight w:val="none"/>
                <w:lang w:val="en-US" w:eastAsia="zh-CN"/>
              </w:rPr>
              <w:t>江西省吉安市吉州区中小企业创业园B5-1地块建设</w:t>
            </w:r>
            <w:r>
              <w:rPr>
                <w:rFonts w:hint="eastAsia"/>
                <w:color w:val="auto"/>
                <w:highlight w:val="none"/>
                <w:lang w:eastAsia="zh-CN"/>
              </w:rPr>
              <w:t>101标准气体车间（乙类）、103充装间（乙类）、102仓库（甲类，</w:t>
            </w:r>
            <w:r>
              <w:rPr>
                <w:rFonts w:hint="eastAsia"/>
                <w:color w:val="auto"/>
                <w:highlight w:val="none"/>
                <w:lang w:val="en-US" w:eastAsia="zh-CN"/>
              </w:rPr>
              <w:t>第1,2,5,6项，＜10t</w:t>
            </w:r>
            <w:r>
              <w:rPr>
                <w:rFonts w:hint="eastAsia"/>
                <w:color w:val="auto"/>
                <w:highlight w:val="none"/>
                <w:lang w:eastAsia="zh-CN"/>
              </w:rPr>
              <w:t>）、</w:t>
            </w:r>
            <w:r>
              <w:rPr>
                <w:rFonts w:hint="eastAsia" w:eastAsia="宋体" w:cs="Times New Roman"/>
                <w:color w:val="auto"/>
                <w:highlight w:val="none"/>
                <w:lang w:val="en-US" w:eastAsia="zh-CN"/>
              </w:rPr>
              <w:t>202罐区2（乙类）和201罐区1（戊类）及203罐区3（戊类）</w:t>
            </w:r>
            <w:r>
              <w:rPr>
                <w:rFonts w:hint="eastAsia" w:eastAsia="宋体" w:cs="Times New Roman"/>
                <w:color w:val="auto"/>
                <w:highlight w:val="none"/>
              </w:rPr>
              <w:t>等，购置</w:t>
            </w:r>
            <w:r>
              <w:rPr>
                <w:rFonts w:hint="eastAsia" w:eastAsia="宋体" w:cs="Times New Roman"/>
                <w:color w:val="auto"/>
                <w:highlight w:val="none"/>
                <w:lang w:val="en-US" w:eastAsia="zh-CN"/>
              </w:rPr>
              <w:t>储罐、低温泵、气化器、充装系统、隔膜压缩机</w:t>
            </w:r>
            <w:r>
              <w:rPr>
                <w:rFonts w:hint="eastAsia" w:eastAsia="宋体" w:cs="Times New Roman"/>
                <w:color w:val="auto"/>
                <w:highlight w:val="none"/>
              </w:rPr>
              <w:t>等生产设备，</w:t>
            </w:r>
            <w:r>
              <w:rPr>
                <w:rFonts w:hint="eastAsia" w:eastAsia="宋体" w:cs="Times New Roman"/>
                <w:color w:val="auto"/>
                <w:highlight w:val="none"/>
                <w:lang w:val="en-US" w:eastAsia="zh-CN"/>
              </w:rPr>
              <w:t>进行</w:t>
            </w:r>
            <w:r>
              <w:rPr>
                <w:rFonts w:hint="eastAsia"/>
                <w:color w:val="auto"/>
                <w:highlight w:val="none"/>
                <w:lang w:val="en-US" w:eastAsia="zh-CN"/>
              </w:rPr>
              <w:t>气体充装和气体储存经营</w:t>
            </w:r>
            <w:r>
              <w:rPr>
                <w:rFonts w:hint="eastAsia"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5"/>
              <w:spacing w:line="360" w:lineRule="auto"/>
              <w:ind w:firstLine="220" w:firstLineChars="100"/>
              <w:rPr>
                <w:rFonts w:hAnsi="宋体"/>
                <w:sz w:val="22"/>
                <w:szCs w:val="16"/>
              </w:rPr>
            </w:pPr>
            <w:r>
              <w:rPr>
                <w:rFonts w:hAnsi="宋体"/>
                <w:sz w:val="22"/>
                <w:szCs w:val="16"/>
              </w:rPr>
              <w:t>工艺流程简图</w:t>
            </w:r>
          </w:p>
          <w:p>
            <w:pPr>
              <w:ind w:firstLine="562"/>
              <w:rPr>
                <w:rFonts w:hint="default" w:ascii="宋体" w:hAnsi="宋体" w:eastAsia="宋体"/>
                <w:b/>
                <w:bCs/>
                <w:color w:val="auto"/>
                <w:highlight w:val="none"/>
                <w:lang w:val="en-US" w:eastAsia="zh-CN"/>
              </w:rPr>
            </w:pPr>
            <w:r>
              <w:rPr>
                <w:rFonts w:hint="default" w:ascii="宋体" w:hAnsi="宋体" w:eastAsia="宋体"/>
                <w:b/>
                <w:bCs/>
                <w:color w:val="auto"/>
                <w:highlight w:val="none"/>
                <w:lang w:val="en-US" w:eastAsia="zh-CN"/>
              </w:rPr>
              <w:t>1、氦气</w:t>
            </w:r>
            <w:r>
              <w:rPr>
                <w:rFonts w:hint="default" w:ascii="宋体" w:hAnsi="宋体" w:eastAsia="宋体"/>
                <w:b/>
                <w:bCs/>
                <w:color w:val="auto"/>
                <w:highlight w:val="none"/>
                <w:lang w:val="zh-CN"/>
              </w:rPr>
              <w:t>（工业、高纯）</w:t>
            </w:r>
            <w:r>
              <w:rPr>
                <w:rFonts w:hint="default" w:ascii="宋体" w:hAnsi="宋体" w:eastAsia="宋体"/>
                <w:b/>
                <w:bCs/>
                <w:color w:val="auto"/>
                <w:highlight w:val="none"/>
                <w:lang w:val="en-US" w:eastAsia="zh-CN"/>
              </w:rPr>
              <w:t>充装工艺图</w:t>
            </w:r>
          </w:p>
          <w:p>
            <w:pPr>
              <w:ind w:firstLine="560"/>
              <w:rPr>
                <w:rFonts w:hint="default"/>
                <w:color w:val="auto"/>
                <w:highlight w:val="none"/>
              </w:rPr>
            </w:pPr>
            <w:bookmarkStart w:id="0" w:name="_Toc3889"/>
            <w:r>
              <w:rPr>
                <w:rFonts w:hint="default"/>
                <w:color w:val="auto"/>
                <w:highlight w:val="none"/>
              </w:rPr>
              <w:drawing>
                <wp:inline distT="0" distB="0" distL="114300" distR="114300">
                  <wp:extent cx="4963795" cy="1687195"/>
                  <wp:effectExtent l="0" t="0" r="8255" b="762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
                          <a:srcRect l="30995" t="49344" r="34808" b="25146"/>
                          <a:stretch>
                            <a:fillRect/>
                          </a:stretch>
                        </pic:blipFill>
                        <pic:spPr>
                          <a:xfrm>
                            <a:off x="0" y="0"/>
                            <a:ext cx="4963795" cy="1687195"/>
                          </a:xfrm>
                          <a:prstGeom prst="rect">
                            <a:avLst/>
                          </a:prstGeom>
                          <a:noFill/>
                          <a:ln>
                            <a:noFill/>
                          </a:ln>
                        </pic:spPr>
                      </pic:pic>
                    </a:graphicData>
                  </a:graphic>
                </wp:inline>
              </w:drawing>
            </w:r>
            <w:bookmarkEnd w:id="0"/>
          </w:p>
          <w:p>
            <w:pPr>
              <w:ind w:firstLine="562"/>
              <w:rPr>
                <w:rFonts w:hint="default" w:ascii="宋体" w:hAnsi="宋体" w:eastAsia="宋体"/>
                <w:b/>
                <w:bCs/>
                <w:color w:val="auto"/>
                <w:highlight w:val="none"/>
                <w:lang w:val="en-US" w:eastAsia="zh-CN"/>
              </w:rPr>
            </w:pPr>
            <w:r>
              <w:rPr>
                <w:rFonts w:hint="default" w:ascii="宋体" w:hAnsi="宋体" w:eastAsia="宋体"/>
                <w:b/>
                <w:bCs/>
                <w:color w:val="auto"/>
                <w:highlight w:val="none"/>
                <w:lang w:val="en-US"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334010</wp:posOffset>
                  </wp:positionV>
                  <wp:extent cx="5547360" cy="1212850"/>
                  <wp:effectExtent l="0" t="0" r="15240" b="6350"/>
                  <wp:wrapNone/>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5"/>
                          <a:stretch>
                            <a:fillRect/>
                          </a:stretch>
                        </pic:blipFill>
                        <pic:spPr>
                          <a:xfrm>
                            <a:off x="0" y="0"/>
                            <a:ext cx="5547360" cy="1212850"/>
                          </a:xfrm>
                          <a:prstGeom prst="rect">
                            <a:avLst/>
                          </a:prstGeom>
                          <a:noFill/>
                          <a:ln>
                            <a:noFill/>
                          </a:ln>
                        </pic:spPr>
                      </pic:pic>
                    </a:graphicData>
                  </a:graphic>
                </wp:anchor>
              </w:drawing>
            </w:r>
            <w:r>
              <w:rPr>
                <w:rFonts w:hint="eastAsia" w:ascii="宋体" w:hAnsi="宋体" w:eastAsia="宋体"/>
                <w:b/>
                <w:bCs/>
                <w:color w:val="auto"/>
                <w:highlight w:val="none"/>
                <w:lang w:val="en-US" w:eastAsia="zh-CN"/>
              </w:rPr>
              <w:t>2、</w:t>
            </w:r>
            <w:r>
              <w:rPr>
                <w:rFonts w:hint="default" w:ascii="宋体" w:hAnsi="宋体" w:eastAsia="宋体"/>
                <w:b/>
                <w:bCs/>
                <w:color w:val="auto"/>
                <w:highlight w:val="none"/>
                <w:lang w:val="en-US" w:eastAsia="zh-CN"/>
              </w:rPr>
              <w:t>氧气（工业氧、医用氧）充装工艺图</w:t>
            </w:r>
          </w:p>
          <w:p>
            <w:pPr>
              <w:ind w:firstLine="560"/>
              <w:rPr>
                <w:rFonts w:hint="default"/>
                <w:color w:val="auto"/>
                <w:highlight w:val="none"/>
                <w:lang w:val="en-US" w:eastAsia="zh-CN"/>
              </w:rPr>
            </w:pPr>
          </w:p>
          <w:p>
            <w:pPr>
              <w:ind w:firstLine="560"/>
              <w:rPr>
                <w:rFonts w:hint="default"/>
                <w:color w:val="auto"/>
                <w:highlight w:val="none"/>
                <w:lang w:val="en-US" w:eastAsia="zh-CN"/>
              </w:rPr>
            </w:pPr>
          </w:p>
          <w:p>
            <w:pPr>
              <w:ind w:firstLine="560"/>
              <w:rPr>
                <w:rFonts w:hint="default"/>
                <w:color w:val="auto"/>
                <w:highlight w:val="none"/>
                <w:lang w:val="en-US" w:eastAsia="zh-CN"/>
              </w:rPr>
            </w:pPr>
          </w:p>
          <w:p>
            <w:pPr>
              <w:ind w:firstLine="560"/>
              <w:rPr>
                <w:rFonts w:hint="default"/>
                <w:color w:val="auto"/>
                <w:highlight w:val="none"/>
                <w:lang w:val="en-US" w:eastAsia="zh-CN"/>
              </w:rPr>
            </w:pPr>
          </w:p>
          <w:p>
            <w:pPr>
              <w:ind w:firstLine="562"/>
              <w:rPr>
                <w:rFonts w:hint="default" w:ascii="宋体" w:hAnsi="宋体" w:eastAsia="宋体"/>
                <w:b/>
                <w:bCs/>
                <w:color w:val="auto"/>
                <w:highlight w:val="none"/>
                <w:lang w:val="en-US" w:eastAsia="zh-CN"/>
              </w:rPr>
            </w:pPr>
          </w:p>
          <w:p>
            <w:pPr>
              <w:ind w:firstLine="562"/>
              <w:rPr>
                <w:rFonts w:hint="default" w:ascii="宋体" w:hAnsi="宋体" w:eastAsia="宋体"/>
                <w:b/>
                <w:bCs/>
                <w:color w:val="auto"/>
                <w:highlight w:val="none"/>
                <w:lang w:val="en-US" w:eastAsia="zh-CN"/>
              </w:rPr>
            </w:pPr>
            <w:r>
              <w:rPr>
                <w:rFonts w:hint="default" w:ascii="宋体" w:hAnsi="宋体" w:eastAsia="宋体"/>
                <w:b/>
                <w:bCs/>
                <w:color w:val="auto"/>
                <w:highlight w:val="none"/>
                <w:lang w:val="en-US" w:eastAsia="zh-CN"/>
              </w:rPr>
              <w:t>3、氮气</w:t>
            </w:r>
            <w:r>
              <w:rPr>
                <w:rFonts w:hint="eastAsia" w:ascii="宋体" w:hAnsi="宋体" w:eastAsia="宋体"/>
                <w:b/>
                <w:bCs/>
                <w:color w:val="auto"/>
                <w:highlight w:val="none"/>
                <w:lang w:val="zh-CN" w:eastAsia="zh-CN"/>
              </w:rPr>
              <w:t>（</w:t>
            </w:r>
            <w:r>
              <w:rPr>
                <w:rFonts w:hint="eastAsia" w:ascii="宋体" w:hAnsi="宋体" w:eastAsia="宋体"/>
                <w:b/>
                <w:bCs/>
                <w:color w:val="auto"/>
                <w:highlight w:val="none"/>
                <w:lang w:val="en-US" w:eastAsia="zh-CN"/>
              </w:rPr>
              <w:t>工业氮</w:t>
            </w:r>
            <w:r>
              <w:rPr>
                <w:rFonts w:hint="eastAsia" w:ascii="宋体" w:hAnsi="宋体" w:eastAsia="宋体"/>
                <w:b/>
                <w:bCs/>
                <w:color w:val="auto"/>
                <w:highlight w:val="none"/>
                <w:lang w:val="zh-CN" w:eastAsia="zh-CN"/>
              </w:rPr>
              <w:t>）</w:t>
            </w:r>
            <w:r>
              <w:rPr>
                <w:rFonts w:hint="default" w:ascii="宋体" w:hAnsi="宋体" w:eastAsia="宋体"/>
                <w:b/>
                <w:bCs/>
                <w:color w:val="auto"/>
                <w:highlight w:val="none"/>
                <w:lang w:val="en-US" w:eastAsia="zh-CN"/>
              </w:rPr>
              <w:t>充装工艺图</w:t>
            </w:r>
          </w:p>
          <w:p>
            <w:pPr>
              <w:ind w:left="0" w:leftChars="0" w:firstLine="0" w:firstLineChars="0"/>
              <w:rPr>
                <w:rFonts w:hint="default"/>
                <w:color w:val="auto"/>
                <w:highlight w:val="none"/>
              </w:rPr>
            </w:pPr>
            <w:bookmarkStart w:id="1" w:name="_Toc28101"/>
            <w:r>
              <w:rPr>
                <w:rFonts w:hint="default"/>
                <w:color w:val="auto"/>
                <w:highlight w:val="none"/>
              </w:rPr>
              <w:drawing>
                <wp:inline distT="0" distB="0" distL="114300" distR="114300">
                  <wp:extent cx="5524500" cy="1657350"/>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6"/>
                          <a:stretch>
                            <a:fillRect/>
                          </a:stretch>
                        </pic:blipFill>
                        <pic:spPr>
                          <a:xfrm>
                            <a:off x="0" y="0"/>
                            <a:ext cx="5524500" cy="1657350"/>
                          </a:xfrm>
                          <a:prstGeom prst="rect">
                            <a:avLst/>
                          </a:prstGeom>
                          <a:noFill/>
                          <a:ln>
                            <a:noFill/>
                          </a:ln>
                        </pic:spPr>
                      </pic:pic>
                    </a:graphicData>
                  </a:graphic>
                </wp:inline>
              </w:drawing>
            </w:r>
            <w:bookmarkEnd w:id="1"/>
          </w:p>
          <w:p>
            <w:pPr>
              <w:ind w:firstLine="562"/>
              <w:rPr>
                <w:rFonts w:hint="default" w:ascii="宋体" w:hAnsi="宋体" w:eastAsia="宋体"/>
                <w:b/>
                <w:bCs/>
                <w:color w:val="auto"/>
                <w:highlight w:val="none"/>
                <w:lang w:val="en-US" w:eastAsia="zh-CN"/>
              </w:rPr>
            </w:pPr>
            <w:r>
              <w:rPr>
                <w:rFonts w:hint="default" w:ascii="宋体" w:hAnsi="宋体" w:eastAsia="宋体"/>
                <w:b/>
                <w:bCs/>
                <w:color w:val="auto"/>
                <w:highlight w:val="none"/>
                <w:lang w:val="en-US" w:eastAsia="zh-CN"/>
              </w:rPr>
              <w:t>4、氩气充装工艺图</w:t>
            </w:r>
          </w:p>
          <w:p>
            <w:pPr>
              <w:ind w:firstLine="560"/>
              <w:rPr>
                <w:rFonts w:hint="default"/>
                <w:color w:val="auto"/>
                <w:highlight w:val="none"/>
              </w:rPr>
            </w:pPr>
            <w:r>
              <w:rPr>
                <w:rFonts w:hint="default"/>
                <w:color w:val="auto"/>
                <w:highlight w:val="none"/>
              </w:rPr>
              <w:drawing>
                <wp:inline distT="0" distB="0" distL="114300" distR="114300">
                  <wp:extent cx="5610225" cy="1859280"/>
                  <wp:effectExtent l="0" t="0" r="9525" b="762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7"/>
                          <a:stretch>
                            <a:fillRect/>
                          </a:stretch>
                        </pic:blipFill>
                        <pic:spPr>
                          <a:xfrm>
                            <a:off x="0" y="0"/>
                            <a:ext cx="5610225" cy="1859280"/>
                          </a:xfrm>
                          <a:prstGeom prst="rect">
                            <a:avLst/>
                          </a:prstGeom>
                          <a:noFill/>
                          <a:ln>
                            <a:noFill/>
                          </a:ln>
                        </pic:spPr>
                      </pic:pic>
                    </a:graphicData>
                  </a:graphic>
                </wp:inline>
              </w:drawing>
            </w:r>
          </w:p>
          <w:p>
            <w:pPr>
              <w:ind w:firstLine="562"/>
              <w:rPr>
                <w:rFonts w:hint="default" w:ascii="宋体" w:hAnsi="宋体" w:eastAsia="宋体"/>
                <w:b/>
                <w:bCs/>
                <w:color w:val="auto"/>
                <w:highlight w:val="none"/>
                <w:lang w:val="en-US" w:eastAsia="zh-CN"/>
              </w:rPr>
            </w:pPr>
            <w:r>
              <w:rPr>
                <w:rFonts w:hint="default" w:ascii="宋体" w:hAnsi="宋体" w:eastAsia="宋体"/>
                <w:b/>
                <w:bCs/>
                <w:color w:val="auto"/>
                <w:highlight w:val="none"/>
                <w:lang w:val="en-US" w:eastAsia="zh-CN"/>
              </w:rPr>
              <w:t>5、混合标准气体充装工艺图</w:t>
            </w:r>
          </w:p>
          <w:p>
            <w:pPr>
              <w:ind w:left="0" w:leftChars="0" w:firstLine="0" w:firstLineChars="0"/>
              <w:rPr>
                <w:rFonts w:hint="default"/>
                <w:color w:val="auto"/>
                <w:highlight w:val="none"/>
              </w:rPr>
            </w:pPr>
            <w:bookmarkStart w:id="2" w:name="_Toc12707"/>
            <w:r>
              <w:rPr>
                <w:rFonts w:hint="default"/>
                <w:color w:val="auto"/>
                <w:highlight w:val="none"/>
              </w:rPr>
              <w:drawing>
                <wp:inline distT="0" distB="0" distL="114300" distR="114300">
                  <wp:extent cx="5610225" cy="1845945"/>
                  <wp:effectExtent l="0" t="0" r="9525" b="190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8"/>
                          <a:stretch>
                            <a:fillRect/>
                          </a:stretch>
                        </pic:blipFill>
                        <pic:spPr>
                          <a:xfrm>
                            <a:off x="0" y="0"/>
                            <a:ext cx="5610225" cy="1845945"/>
                          </a:xfrm>
                          <a:prstGeom prst="rect">
                            <a:avLst/>
                          </a:prstGeom>
                          <a:noFill/>
                          <a:ln>
                            <a:noFill/>
                          </a:ln>
                        </pic:spPr>
                      </pic:pic>
                    </a:graphicData>
                  </a:graphic>
                </wp:inline>
              </w:drawing>
            </w:r>
            <w:bookmarkEnd w:id="2"/>
          </w:p>
          <w:p>
            <w:pPr>
              <w:ind w:firstLine="562"/>
              <w:rPr>
                <w:rFonts w:hint="default" w:ascii="宋体" w:hAnsi="宋体" w:eastAsia="宋体"/>
                <w:b/>
                <w:bCs/>
                <w:color w:val="auto"/>
                <w:highlight w:val="none"/>
                <w:lang w:val="en-US" w:eastAsia="zh-CN"/>
              </w:rPr>
            </w:pPr>
            <w:r>
              <w:rPr>
                <w:rFonts w:hint="default" w:ascii="宋体" w:hAnsi="宋体" w:eastAsia="宋体"/>
                <w:b/>
                <w:bCs/>
                <w:color w:val="auto"/>
                <w:highlight w:val="none"/>
                <w:lang w:val="en-US" w:eastAsia="zh-CN"/>
              </w:rPr>
              <w:t>6、二氧化碳</w:t>
            </w:r>
            <w:r>
              <w:rPr>
                <w:rFonts w:hint="eastAsia" w:ascii="宋体" w:hAnsi="宋体" w:eastAsia="宋体"/>
                <w:b/>
                <w:bCs/>
                <w:color w:val="auto"/>
                <w:highlight w:val="none"/>
                <w:lang w:val="en-US" w:eastAsia="zh-CN"/>
              </w:rPr>
              <w:t>（工业、食品级及干冰）生产</w:t>
            </w:r>
            <w:r>
              <w:rPr>
                <w:rFonts w:hint="default" w:ascii="宋体" w:hAnsi="宋体" w:eastAsia="宋体"/>
                <w:b/>
                <w:bCs/>
                <w:color w:val="auto"/>
                <w:highlight w:val="none"/>
                <w:lang w:val="en-US" w:eastAsia="zh-CN"/>
              </w:rPr>
              <w:t>充装工艺图</w:t>
            </w:r>
          </w:p>
          <w:p>
            <w:pPr>
              <w:ind w:left="0" w:leftChars="0" w:firstLine="0" w:firstLineChars="0"/>
              <w:jc w:val="center"/>
              <w:rPr>
                <w:rFonts w:hint="default"/>
                <w:color w:val="auto"/>
                <w:highlight w:val="none"/>
              </w:rPr>
            </w:pPr>
            <w:r>
              <w:rPr>
                <w:color w:val="auto"/>
                <w:highlight w:val="none"/>
              </w:rPr>
              <w:drawing>
                <wp:inline distT="0" distB="0" distL="114300" distR="114300">
                  <wp:extent cx="5049520" cy="2567305"/>
                  <wp:effectExtent l="0" t="0" r="17780" b="444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9"/>
                          <a:stretch>
                            <a:fillRect/>
                          </a:stretch>
                        </pic:blipFill>
                        <pic:spPr>
                          <a:xfrm>
                            <a:off x="0" y="0"/>
                            <a:ext cx="5049520" cy="2567305"/>
                          </a:xfrm>
                          <a:prstGeom prst="rect">
                            <a:avLst/>
                          </a:prstGeom>
                          <a:noFill/>
                          <a:ln>
                            <a:noFill/>
                          </a:ln>
                        </pic:spPr>
                      </pic:pic>
                    </a:graphicData>
                  </a:graphic>
                </wp:inline>
              </w:drawing>
            </w:r>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ind w:firstLine="0" w:firstLineChars="0"/>
        <w:jc w:val="left"/>
        <w:rPr>
          <w:rFonts w:hint="eastAsia" w:hAnsi="宋体" w:eastAsia="宋体" w:cs="宋体"/>
          <w:color w:val="auto"/>
          <w:highlight w:val="none"/>
          <w:lang w:eastAsia="zh-CN"/>
        </w:rPr>
      </w:pPr>
      <w:r>
        <w:rPr>
          <w:rFonts w:hint="eastAsia" w:hAnsi="宋体" w:eastAsia="宋体" w:cs="宋体"/>
          <w:color w:val="auto"/>
          <w:highlight w:val="none"/>
          <w:lang w:eastAsia="zh-CN"/>
        </w:rPr>
        <w:drawing>
          <wp:inline distT="0" distB="0" distL="114300" distR="114300">
            <wp:extent cx="5786120" cy="4339590"/>
            <wp:effectExtent l="0" t="0" r="5080" b="3810"/>
            <wp:docPr id="1" name="图片 1" descr="38eb0e48997d4bd38684841420cd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eb0e48997d4bd38684841420cd32c"/>
                    <pic:cNvPicPr>
                      <a:picLocks noChangeAspect="1"/>
                    </pic:cNvPicPr>
                  </pic:nvPicPr>
                  <pic:blipFill>
                    <a:blip r:embed="rId10"/>
                    <a:stretch>
                      <a:fillRect/>
                    </a:stretch>
                  </pic:blipFill>
                  <pic:spPr>
                    <a:xfrm>
                      <a:off x="0" y="0"/>
                      <a:ext cx="5786120" cy="4339590"/>
                    </a:xfrm>
                    <a:prstGeom prst="rect">
                      <a:avLst/>
                    </a:prstGeom>
                  </pic:spPr>
                </pic:pic>
              </a:graphicData>
            </a:graphic>
          </wp:inline>
        </w:drawing>
      </w:r>
    </w:p>
    <w:p>
      <w:pPr>
        <w:rPr>
          <w:rFonts w:hint="eastAsia" w:hAnsi="宋体" w:eastAsia="宋体" w:cs="宋体"/>
          <w:color w:val="auto"/>
          <w:highlight w:val="none"/>
          <w:lang w:eastAsia="zh-CN"/>
        </w:rPr>
      </w:pPr>
      <w:r>
        <w:rPr>
          <w:rFonts w:hint="eastAsia" w:hAnsi="宋体" w:eastAsia="宋体" w:cs="宋体"/>
          <w:color w:val="auto"/>
          <w:highlight w:val="none"/>
          <w:lang w:eastAsia="zh-CN"/>
        </w:rPr>
        <w:drawing>
          <wp:inline distT="0" distB="0" distL="114300" distR="114300">
            <wp:extent cx="5786120" cy="3881120"/>
            <wp:effectExtent l="0" t="0" r="5080" b="5080"/>
            <wp:docPr id="4" name="图片 4" descr="c55cdda82176569acf0c2f6b43fa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5cdda82176569acf0c2f6b43fa166"/>
                    <pic:cNvPicPr>
                      <a:picLocks noChangeAspect="1"/>
                    </pic:cNvPicPr>
                  </pic:nvPicPr>
                  <pic:blipFill>
                    <a:blip r:embed="rId11"/>
                    <a:srcRect t="10565"/>
                    <a:stretch>
                      <a:fillRect/>
                    </a:stretch>
                  </pic:blipFill>
                  <pic:spPr>
                    <a:xfrm>
                      <a:off x="0" y="0"/>
                      <a:ext cx="5786120" cy="3881120"/>
                    </a:xfrm>
                    <a:prstGeom prst="rect">
                      <a:avLst/>
                    </a:prstGeom>
                  </pic:spPr>
                </pic:pic>
              </a:graphicData>
            </a:graphic>
          </wp:inline>
        </w:drawing>
      </w:r>
    </w:p>
    <w:p>
      <w:pPr>
        <w:rPr>
          <w:rFonts w:hint="eastAsia"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lang w:val="en-US" w:eastAsia="zh-CN"/>
              </w:rPr>
              <w:t>江西志力电子材料科技有限公司蚀刻、退锡等线路板原材料配套工程建设项目</w:t>
            </w:r>
            <w:r>
              <w:rPr>
                <w:rFonts w:hint="eastAsia" w:ascii="宋体" w:hAnsi="宋体"/>
                <w:sz w:val="24"/>
                <w:szCs w:val="22"/>
              </w:rPr>
              <w:t>安全</w:t>
            </w:r>
            <w:r>
              <w:rPr>
                <w:rFonts w:hint="eastAsia" w:ascii="宋体" w:hAnsi="宋体"/>
                <w:sz w:val="24"/>
                <w:szCs w:val="22"/>
                <w:lang w:val="en-US" w:eastAsia="zh-CN"/>
              </w:rPr>
              <w:t>条件</w:t>
            </w:r>
            <w:r>
              <w:rPr>
                <w:rFonts w:hint="eastAsia" w:ascii="宋体" w:hAnsi="宋体"/>
                <w:sz w:val="24"/>
                <w:szCs w:val="22"/>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6</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熊克书</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S011035000110192001546</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陈武斌</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谢雨飞</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CAWS350000230200227</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岳强</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0800000000102212</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sz w:val="24"/>
                <w:lang w:val="en-US" w:eastAsia="zh-CN"/>
              </w:rPr>
              <w:t>熊克书20240429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rFonts w:eastAsia="宋体" w:cs="Times New Roman"/>
                <w:color w:val="auto"/>
                <w:highlight w:val="none"/>
              </w:rPr>
            </w:pPr>
            <w:r>
              <w:rPr>
                <w:rFonts w:hint="eastAsia"/>
                <w:color w:val="auto"/>
                <w:highlight w:val="none"/>
                <w:lang w:eastAsia="zh-CN"/>
              </w:rPr>
              <w:t>江西志力电子材料科技有限公司</w:t>
            </w:r>
            <w:r>
              <w:rPr>
                <w:color w:val="auto"/>
                <w:highlight w:val="none"/>
              </w:rPr>
              <w:t>成立于</w:t>
            </w:r>
            <w:r>
              <w:rPr>
                <w:rFonts w:hint="eastAsia"/>
                <w:color w:val="auto"/>
                <w:highlight w:val="none"/>
                <w:lang w:eastAsia="zh-CN"/>
              </w:rPr>
              <w:t>2017年12月1日</w:t>
            </w:r>
            <w:r>
              <w:rPr>
                <w:color w:val="auto"/>
                <w:highlight w:val="none"/>
              </w:rPr>
              <w:t>，并取得</w:t>
            </w:r>
            <w:r>
              <w:rPr>
                <w:rFonts w:hint="eastAsia"/>
                <w:color w:val="auto"/>
                <w:highlight w:val="none"/>
                <w:lang w:eastAsia="zh-CN"/>
              </w:rPr>
              <w:t>万安县</w:t>
            </w:r>
            <w:r>
              <w:rPr>
                <w:color w:val="auto"/>
                <w:highlight w:val="none"/>
              </w:rPr>
              <w:t>市场监督管理局颁发的《营业执照》，营业执照统一社会信用代码：</w:t>
            </w:r>
            <w:r>
              <w:rPr>
                <w:rFonts w:hint="eastAsia"/>
                <w:color w:val="auto"/>
                <w:highlight w:val="none"/>
                <w:lang w:eastAsia="zh-CN"/>
              </w:rPr>
              <w:t>91360828MA36YAHRX6</w:t>
            </w:r>
            <w:r>
              <w:rPr>
                <w:rFonts w:hint="eastAsia"/>
                <w:color w:val="auto"/>
                <w:highlight w:val="none"/>
              </w:rPr>
              <w:t>。公司注册住所：江西省吉安市</w:t>
            </w:r>
            <w:r>
              <w:rPr>
                <w:rFonts w:hint="eastAsia"/>
                <w:color w:val="auto"/>
                <w:highlight w:val="none"/>
                <w:lang w:eastAsia="zh-CN"/>
              </w:rPr>
              <w:t>万安县工业园</w:t>
            </w:r>
            <w:r>
              <w:rPr>
                <w:rFonts w:hint="eastAsia"/>
                <w:color w:val="auto"/>
                <w:highlight w:val="none"/>
              </w:rPr>
              <w:t>。</w:t>
            </w:r>
            <w:r>
              <w:rPr>
                <w:color w:val="auto"/>
                <w:highlight w:val="none"/>
              </w:rPr>
              <w:t>法法定代表人：</w:t>
            </w:r>
            <w:r>
              <w:rPr>
                <w:rFonts w:hint="eastAsia"/>
                <w:color w:val="auto"/>
                <w:highlight w:val="none"/>
                <w:lang w:eastAsia="zh-CN"/>
              </w:rPr>
              <w:t>伍择斌</w:t>
            </w:r>
            <w:r>
              <w:rPr>
                <w:color w:val="auto"/>
                <w:highlight w:val="none"/>
              </w:rPr>
              <w:t>，注册资本</w:t>
            </w:r>
            <w:r>
              <w:rPr>
                <w:rFonts w:hint="eastAsia"/>
                <w:color w:val="auto"/>
                <w:highlight w:val="none"/>
                <w:lang w:eastAsia="zh-CN"/>
              </w:rPr>
              <w:t>壹仟万元人民币</w:t>
            </w:r>
            <w:r>
              <w:rPr>
                <w:color w:val="auto"/>
                <w:highlight w:val="none"/>
              </w:rPr>
              <w:t>。企业性质为</w:t>
            </w:r>
            <w:r>
              <w:rPr>
                <w:rFonts w:hint="eastAsia"/>
                <w:color w:val="auto"/>
                <w:highlight w:val="none"/>
                <w:lang w:eastAsia="zh-CN"/>
              </w:rPr>
              <w:t>有限责任公司（自然人投资或控股）</w:t>
            </w:r>
            <w:r>
              <w:rPr>
                <w:color w:val="auto"/>
                <w:highlight w:val="none"/>
              </w:rPr>
              <w:t>。营业执照许可</w:t>
            </w:r>
            <w:r>
              <w:rPr>
                <w:rFonts w:hint="eastAsia"/>
                <w:color w:val="auto"/>
                <w:highlight w:val="none"/>
              </w:rPr>
              <w:t>经营范围：</w:t>
            </w:r>
            <w:r>
              <w:rPr>
                <w:rFonts w:hint="eastAsia"/>
                <w:color w:val="auto"/>
                <w:highlight w:val="none"/>
                <w:lang w:eastAsia="zh-CN"/>
              </w:rPr>
              <w:t>危险化学品经营（依法须经批准的项目，经相关部门批准后方可开展经营活动，具体经营项目以相关部门批准文件或许可证件为准）一般项目：电子专用材料制造，电子专用材料销售，化工产品销售（不含许可类化工产品），专用化学产品销售（不含危险化学品），五金产品零售，仪器仪表销售，技术服务、技术开发、技术咨询、技术交流、技术转让、技术推广，社会经济咨询服务（除依法须经批准的项目外，凭营业执照依法自主开展经营活动）</w:t>
            </w:r>
            <w:r>
              <w:rPr>
                <w:rFonts w:hint="eastAsia" w:eastAsia="宋体" w:cs="Times New Roman"/>
                <w:color w:val="auto"/>
                <w:highlight w:val="none"/>
              </w:rPr>
              <w:t>。</w:t>
            </w:r>
          </w:p>
          <w:p>
            <w:pPr>
              <w:ind w:firstLine="560"/>
              <w:rPr>
                <w:sz w:val="24"/>
              </w:rPr>
            </w:pPr>
            <w:r>
              <w:rPr>
                <w:rFonts w:hint="eastAsia" w:eastAsia="宋体" w:cs="Times New Roman"/>
                <w:color w:val="auto"/>
                <w:highlight w:val="none"/>
              </w:rPr>
              <w:t xml:space="preserve">  该公司拟投资</w:t>
            </w:r>
            <w:r>
              <w:rPr>
                <w:rFonts w:hint="eastAsia" w:eastAsia="宋体" w:cs="Times New Roman"/>
                <w:color w:val="auto"/>
                <w:highlight w:val="none"/>
                <w:lang w:eastAsia="zh-CN"/>
              </w:rPr>
              <w:t>1</w:t>
            </w:r>
            <w:r>
              <w:rPr>
                <w:rFonts w:hint="eastAsia" w:eastAsia="宋体" w:cs="Times New Roman"/>
                <w:color w:val="auto"/>
                <w:highlight w:val="none"/>
                <w:lang w:val="en-US" w:eastAsia="zh-CN"/>
              </w:rPr>
              <w:t>23</w:t>
            </w:r>
            <w:r>
              <w:rPr>
                <w:rFonts w:hint="eastAsia" w:eastAsia="宋体" w:cs="Times New Roman"/>
                <w:color w:val="auto"/>
                <w:highlight w:val="none"/>
                <w:lang w:eastAsia="zh-CN"/>
              </w:rPr>
              <w:t>00</w:t>
            </w:r>
            <w:r>
              <w:rPr>
                <w:rFonts w:hint="eastAsia" w:eastAsia="宋体" w:cs="Times New Roman"/>
                <w:color w:val="auto"/>
                <w:highlight w:val="none"/>
              </w:rPr>
              <w:t>万元，</w:t>
            </w:r>
            <w:r>
              <w:rPr>
                <w:rFonts w:hint="eastAsia" w:eastAsia="宋体" w:cs="Times New Roman"/>
                <w:color w:val="auto"/>
                <w:highlight w:val="none"/>
                <w:lang w:eastAsia="zh-CN"/>
              </w:rPr>
              <w:t>在</w:t>
            </w:r>
            <w:r>
              <w:rPr>
                <w:rFonts w:hint="eastAsia" w:ascii="宋体" w:eastAsia="宋体"/>
                <w:color w:val="auto"/>
                <w:highlight w:val="none"/>
                <w:lang w:val="en-US" w:eastAsia="zh-CN"/>
              </w:rPr>
              <w:t>江西省万安工业园</w:t>
            </w:r>
            <w:r>
              <w:rPr>
                <w:rFonts w:hint="eastAsia" w:eastAsia="宋体" w:cs="Times New Roman"/>
                <w:color w:val="auto"/>
                <w:highlight w:val="none"/>
                <w:lang w:val="en-US" w:eastAsia="zh-CN"/>
              </w:rPr>
              <w:t>利用原有</w:t>
            </w:r>
            <w:r>
              <w:rPr>
                <w:rFonts w:hint="eastAsia"/>
                <w:color w:val="auto"/>
                <w:highlight w:val="none"/>
                <w:lang w:eastAsia="zh-CN"/>
              </w:rPr>
              <w:t>103电子药水车间（甲类）、201乙类仓库（</w:t>
            </w:r>
            <w:r>
              <w:rPr>
                <w:rFonts w:hint="eastAsia"/>
                <w:color w:val="auto"/>
                <w:highlight w:val="none"/>
                <w:lang w:val="en-US" w:eastAsia="zh-CN"/>
              </w:rPr>
              <w:t>乙类</w:t>
            </w:r>
            <w:r>
              <w:rPr>
                <w:rFonts w:hint="eastAsia"/>
                <w:color w:val="auto"/>
                <w:highlight w:val="none"/>
                <w:lang w:eastAsia="zh-CN"/>
              </w:rPr>
              <w:t>）、202甲类仓库（</w:t>
            </w:r>
            <w:r>
              <w:rPr>
                <w:rFonts w:hint="eastAsia"/>
                <w:color w:val="auto"/>
                <w:highlight w:val="none"/>
                <w:lang w:val="en-US" w:eastAsia="zh-CN"/>
              </w:rPr>
              <w:t>甲类</w:t>
            </w:r>
            <w:r>
              <w:rPr>
                <w:rFonts w:hint="eastAsia"/>
                <w:color w:val="auto"/>
                <w:highlight w:val="none"/>
                <w:lang w:eastAsia="zh-CN"/>
              </w:rPr>
              <w:t>）</w:t>
            </w:r>
            <w:r>
              <w:rPr>
                <w:rFonts w:hint="eastAsia" w:eastAsia="宋体" w:cs="Times New Roman"/>
                <w:color w:val="auto"/>
                <w:highlight w:val="none"/>
              </w:rPr>
              <w:t>等</w:t>
            </w:r>
            <w:r>
              <w:rPr>
                <w:rFonts w:hint="eastAsia" w:eastAsia="宋体" w:cs="Times New Roman"/>
                <w:color w:val="auto"/>
                <w:highlight w:val="none"/>
                <w:lang w:eastAsia="zh-CN"/>
              </w:rPr>
              <w:t>，</w:t>
            </w:r>
            <w:r>
              <w:rPr>
                <w:rFonts w:hint="eastAsia" w:eastAsia="宋体" w:cs="Times New Roman"/>
                <w:color w:val="auto"/>
                <w:highlight w:val="none"/>
                <w:lang w:val="en-US" w:eastAsia="zh-CN"/>
              </w:rPr>
              <w:t>购置5套分装机进行</w:t>
            </w:r>
            <w:r>
              <w:rPr>
                <w:rFonts w:hint="eastAsia"/>
                <w:color w:val="auto"/>
                <w:highlight w:val="none"/>
                <w:lang w:val="en-US" w:eastAsia="zh-CN"/>
              </w:rPr>
              <w:t>分装化学品，利用原有的201乙类仓库、202甲类仓库进行仓储经营化学品</w:t>
            </w:r>
            <w:r>
              <w:rPr>
                <w:rFonts w:hint="eastAsia"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ind w:firstLine="562"/>
            </w:pPr>
          </w:p>
          <w:p>
            <w:pPr>
              <w:ind w:firstLine="562"/>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shd w:val="clear"/>
        <w:ind w:left="0" w:leftChars="0" w:firstLine="0" w:firstLineChars="0"/>
        <w:rPr>
          <w:color w:val="auto"/>
          <w:highlight w:val="none"/>
        </w:rPr>
      </w:pPr>
      <w:r>
        <w:rPr>
          <w:rFonts w:hint="eastAsia" w:eastAsia="宋体"/>
          <w:color w:val="auto"/>
          <w:highlight w:val="none"/>
          <w:lang w:eastAsia="zh-CN"/>
        </w:rPr>
        <w:drawing>
          <wp:inline distT="0" distB="0" distL="114300" distR="114300">
            <wp:extent cx="5786120" cy="3789045"/>
            <wp:effectExtent l="0" t="0" r="0" b="0"/>
            <wp:docPr id="9" name="图片 9" descr="微信图片_2024042909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429091505"/>
                    <pic:cNvPicPr>
                      <a:picLocks noChangeAspect="1"/>
                    </pic:cNvPicPr>
                  </pic:nvPicPr>
                  <pic:blipFill>
                    <a:blip r:embed="rId12"/>
                    <a:srcRect b="12686"/>
                    <a:stretch>
                      <a:fillRect/>
                    </a:stretch>
                  </pic:blipFill>
                  <pic:spPr>
                    <a:xfrm>
                      <a:off x="0" y="0"/>
                      <a:ext cx="5786120" cy="3789045"/>
                    </a:xfrm>
                    <a:prstGeom prst="rect">
                      <a:avLst/>
                    </a:prstGeom>
                  </pic:spPr>
                </pic:pic>
              </a:graphicData>
            </a:graphic>
          </wp:inline>
        </w:drawing>
      </w:r>
    </w:p>
    <w:p>
      <w:pPr>
        <w:jc w:val="center"/>
        <w:rPr>
          <w:rFonts w:ascii="Times New Roman" w:hAnsi="Times New Roman"/>
          <w:sz w:val="28"/>
          <w:szCs w:val="28"/>
        </w:rPr>
      </w:pPr>
      <w:r>
        <w:rPr>
          <w:rFonts w:hint="eastAsia" w:eastAsia="宋体"/>
          <w:color w:val="auto"/>
          <w:highlight w:val="none"/>
          <w:lang w:eastAsia="zh-CN"/>
        </w:rPr>
        <w:drawing>
          <wp:inline distT="0" distB="0" distL="114300" distR="114300">
            <wp:extent cx="5834380" cy="3938905"/>
            <wp:effectExtent l="0" t="0" r="13970" b="4445"/>
            <wp:docPr id="12" name="图片 12" descr="微信图片_2024042909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429091517"/>
                    <pic:cNvPicPr>
                      <a:picLocks noChangeAspect="1"/>
                    </pic:cNvPicPr>
                  </pic:nvPicPr>
                  <pic:blipFill>
                    <a:blip r:embed="rId13"/>
                    <a:srcRect b="6747"/>
                    <a:stretch>
                      <a:fillRect/>
                    </a:stretch>
                  </pic:blipFill>
                  <pic:spPr>
                    <a:xfrm>
                      <a:off x="0" y="0"/>
                      <a:ext cx="5834380" cy="3938905"/>
                    </a:xfrm>
                    <a:prstGeom prst="rect">
                      <a:avLst/>
                    </a:prstGeom>
                  </pic:spPr>
                </pic:pic>
              </a:graphicData>
            </a:graphic>
          </wp:inline>
        </w:drawing>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rPr>
              <w:t>江西肯特化学有限公司季铵鏻化合物及其衍生产品技术改造项目安全条件评价报告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6</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S011035000110192001546</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Times New Roman" w:hAnsi="Times New Roman" w:eastAsia="宋体" w:cs="Times New Roman"/>
                <w:sz w:val="24"/>
              </w:rPr>
              <w:t>韦根远</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宋体" w:hAnsi="宋体" w:eastAsia="宋体" w:cs="宋体"/>
                <w:sz w:val="24"/>
                <w:lang w:val="en-US" w:eastAsia="zh-CN"/>
              </w:rPr>
              <w:t>S011044000110191001083</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宋体" w:hAnsi="宋体" w:eastAsia="宋体" w:cs="宋体"/>
                <w:sz w:val="24"/>
                <w:lang w:val="en-US" w:eastAsia="zh-CN"/>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陈武斌</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1100000000300371</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lang w:eastAsia="zh-CN"/>
              </w:rPr>
              <w:t>谢雨飞</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CAWS350000230200227</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sz w:val="24"/>
                <w:lang w:val="en-US" w:eastAsia="zh-CN"/>
              </w:rPr>
            </w:pPr>
            <w:r>
              <w:rPr>
                <w:rFonts w:hint="eastAsia" w:ascii="Times New Roman" w:hAnsi="Times New Roman" w:eastAsia="宋体" w:cs="Times New Roman"/>
                <w:sz w:val="24"/>
              </w:rPr>
              <w:t>吴红玉</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Times New Roman" w:hAnsi="Times New Roman"/>
                <w:sz w:val="24"/>
              </w:rPr>
            </w:pPr>
            <w:r>
              <w:rPr>
                <w:rFonts w:hint="eastAsia" w:ascii="宋体" w:hAnsi="宋体" w:eastAsia="宋体" w:cs="宋体"/>
                <w:sz w:val="24"/>
                <w:lang w:val="en-US" w:eastAsia="zh-CN"/>
              </w:rPr>
              <w:t>1200000000300398</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Times New Roman" w:hAnsi="Times New Roman"/>
                <w:sz w:val="24"/>
              </w:rPr>
            </w:pPr>
            <w:r>
              <w:rPr>
                <w:rFonts w:hint="eastAsia" w:ascii="宋体" w:hAnsi="宋体" w:eastAsia="宋体" w:cs="宋体"/>
                <w:sz w:val="24"/>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both"/>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ascii="Times New Roman" w:hAnsi="Times New Roman" w:eastAsia="宋体" w:cs="Times New Roman"/>
                <w:sz w:val="24"/>
                <w:lang w:eastAsia="zh-CN"/>
              </w:rPr>
              <w:t>熊克书</w:t>
            </w:r>
            <w:r>
              <w:rPr>
                <w:rFonts w:hint="eastAsia"/>
                <w:sz w:val="24"/>
              </w:rPr>
              <w:t>2024.</w:t>
            </w:r>
            <w:r>
              <w:rPr>
                <w:rFonts w:hint="eastAsia"/>
                <w:sz w:val="24"/>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bidi w:val="0"/>
              <w:ind w:firstLine="420" w:firstLineChars="200"/>
            </w:pPr>
            <w:r>
              <w:t>江西肯特化学有限公司（</w:t>
            </w:r>
            <w:r>
              <w:rPr>
                <w:rFonts w:hint="eastAsia"/>
              </w:rPr>
              <w:t>以下简称“该公司”</w:t>
            </w:r>
            <w:r>
              <w:t>）</w:t>
            </w:r>
            <w:r>
              <w:rPr>
                <w:rFonts w:hint="eastAsia"/>
              </w:rPr>
              <w:t>厂址位于</w:t>
            </w:r>
            <w:r>
              <w:rPr>
                <w:rFonts w:hint="eastAsia"/>
                <w:lang w:val="zh-CN"/>
              </w:rPr>
              <w:t>江西永新工业园区化工集中区</w:t>
            </w:r>
            <w:r>
              <w:t>，成立日期</w:t>
            </w:r>
            <w:r>
              <w:rPr>
                <w:rFonts w:hint="eastAsia"/>
              </w:rPr>
              <w:t>2009年5月31日，</w:t>
            </w:r>
            <w:r>
              <w:t>法定代表人</w:t>
            </w:r>
            <w:r>
              <w:rPr>
                <w:rFonts w:hint="eastAsia"/>
              </w:rPr>
              <w:t>项飞勇</w:t>
            </w:r>
            <w:r>
              <w:t>，注册资本</w:t>
            </w:r>
            <w:r>
              <w:rPr>
                <w:rFonts w:hint="eastAsia"/>
              </w:rPr>
              <w:t>5200万元，占地面积150亩</w:t>
            </w:r>
            <w:r>
              <w:t>。</w:t>
            </w:r>
            <w:r>
              <w:rPr>
                <w:rFonts w:hint="eastAsia"/>
              </w:rPr>
              <w:t>主要</w:t>
            </w:r>
            <w:r>
              <w:t>经营</w:t>
            </w:r>
            <w:r>
              <w:rPr>
                <w:rFonts w:hint="eastAsia"/>
              </w:rPr>
              <w:t>范围</w:t>
            </w:r>
            <w:r>
              <w:t>：</w:t>
            </w:r>
            <w:r>
              <w:rPr>
                <w:rFonts w:hint="eastAsia"/>
              </w:rPr>
              <w:t>许可项目：危险化学品生产（有效期至2024年9月22日止），第二、三类</w:t>
            </w:r>
            <w:r>
              <w:t>监控化学品</w:t>
            </w:r>
            <w:r>
              <w:rPr>
                <w:rFonts w:hint="eastAsia"/>
              </w:rPr>
              <w:t>和第四类</w:t>
            </w:r>
            <w:r>
              <w:t>监控化学品</w:t>
            </w:r>
            <w:r>
              <w:rPr>
                <w:rFonts w:hint="eastAsia"/>
              </w:rPr>
              <w:t>中含磷、硫、氟的特定有机化学品生产等</w:t>
            </w:r>
            <w:r>
              <w:t>。</w:t>
            </w:r>
          </w:p>
          <w:p>
            <w:pPr>
              <w:ind w:firstLine="420" w:firstLineChars="200"/>
              <w:rPr>
                <w:rFonts w:hint="eastAsia"/>
                <w:color w:val="auto"/>
                <w:highlight w:val="none"/>
                <w:lang w:eastAsia="zh-CN"/>
              </w:rPr>
            </w:pPr>
            <w:r>
              <w:rPr>
                <w:rFonts w:hint="eastAsia"/>
                <w:color w:val="auto"/>
                <w:highlight w:val="none"/>
                <w:lang w:eastAsia="zh-CN"/>
              </w:rPr>
              <w:t>江西肯特化学有限公司2024年05月21日取得永新县工业和信息化局颁发的《江西省工业企业技术改造项目备案通知书》，备案项目名称为：江西肯特化学有限公司季铵鏻化合物及其衍生产品技术改造项目。项目统一代码为：2404-360830-07-02-985632。项目总投资660万元，项目主要建设内容为：主要建设内容：本新改扩项目主要在一车间、二车间、三车间、罐区罐组一、罐组三、罐组四及中控室等建筑内升级改造，具体为：①一车间新增1套蒸馏塔及配套设施、8个3m³、5个5m³、1个10m³中间罐并优化部分管线；②二车间增加1个5m³三甲胺计量罐、1个5m³氯甲烷计量罐、10个5m³中间罐、2个3m³分层罐、1个1m³接收罐并优化部分管线。③三车间增加1台离心机、1个3m³母液罐、1个3m³烘干机、1台单效浓缩器：④罐区罐组一将“50%四甲基氯化铵”改为“碳酸氢铵水溶液储罐”、将1个150m³“苄基三甲基氢氧化铵25%水溶液罐”改为共用罐存放“二甲基二乙基氢氧化铵25%水溶液”、增加1个40m³氢氧化钾溶液罐；原盐酸罐变更成稀硫酸罐；新增150m³溴化钠水层罐：⑤罐组四新增1个30m³三甲胺原料罐：⑥罐组三区将“四甲基氢氧化铵甲醇溶液罐”改为“烯丙基氯”原料罐、将1个50m³“2.5%苄基三甲基氢氧化铵异辛醇溶液罐”改为“二乙胺罐”：⑦中控室相关自控配套设施改造：⑧循环水系统改造。产品方案及规模：规模为年产季铵（鳞）化合物及其衍生产品23218吨。</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bidi w:val="0"/>
            </w:pPr>
            <w:r>
              <w:t>工艺流程简图</w:t>
            </w:r>
          </w:p>
          <w:p>
            <w:pPr>
              <w:pStyle w:val="5"/>
              <w:spacing w:line="360" w:lineRule="auto"/>
              <w:ind w:firstLine="211" w:firstLineChars="100"/>
              <w:jc w:val="center"/>
              <w:rPr>
                <w:rFonts w:hint="eastAsia" w:eastAsia="宋体"/>
                <w:b/>
                <w:bCs/>
                <w:color w:val="auto"/>
                <w:highlight w:val="none"/>
                <w:lang w:val="en-US" w:eastAsia="zh-CN"/>
              </w:rPr>
            </w:pPr>
            <w:r>
              <w:rPr>
                <w:b/>
                <w:bCs/>
                <w:color w:val="auto"/>
                <w:highlight w:val="none"/>
              </w:rPr>
              <w:drawing>
                <wp:anchor distT="0" distB="0" distL="114300" distR="114300" simplePos="0" relativeHeight="251660288" behindDoc="0" locked="0" layoutInCell="1" allowOverlap="1">
                  <wp:simplePos x="0" y="0"/>
                  <wp:positionH relativeFrom="column">
                    <wp:posOffset>44450</wp:posOffset>
                  </wp:positionH>
                  <wp:positionV relativeFrom="paragraph">
                    <wp:posOffset>233680</wp:posOffset>
                  </wp:positionV>
                  <wp:extent cx="4993005" cy="5015865"/>
                  <wp:effectExtent l="0" t="0" r="17145" b="13335"/>
                  <wp:wrapTopAndBottom/>
                  <wp:docPr id="519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图片 69"/>
                          <pic:cNvPicPr>
                            <a:picLocks noChangeAspect="1"/>
                          </pic:cNvPicPr>
                        </pic:nvPicPr>
                        <pic:blipFill>
                          <a:blip r:embed="rId14"/>
                          <a:stretch>
                            <a:fillRect/>
                          </a:stretch>
                        </pic:blipFill>
                        <pic:spPr>
                          <a:xfrm>
                            <a:off x="0" y="0"/>
                            <a:ext cx="4993005" cy="5015865"/>
                          </a:xfrm>
                          <a:prstGeom prst="rect">
                            <a:avLst/>
                          </a:prstGeom>
                          <a:noFill/>
                          <a:ln>
                            <a:noFill/>
                          </a:ln>
                        </pic:spPr>
                      </pic:pic>
                    </a:graphicData>
                  </a:graphic>
                </wp:anchor>
              </w:drawing>
            </w:r>
            <w:r>
              <w:rPr>
                <w:rFonts w:hint="eastAsia"/>
                <w:b/>
                <w:bCs/>
                <w:color w:val="auto"/>
                <w:highlight w:val="none"/>
              </w:rPr>
              <w:t>四甲基氯化铵工艺</w:t>
            </w:r>
            <w:r>
              <w:rPr>
                <w:rFonts w:hint="eastAsia"/>
                <w:b/>
                <w:bCs/>
                <w:color w:val="auto"/>
                <w:highlight w:val="none"/>
                <w:lang w:val="en-US" w:eastAsia="zh-CN"/>
              </w:rPr>
              <w:t>图</w:t>
            </w:r>
          </w:p>
          <w:p>
            <w:pPr>
              <w:rPr>
                <w:rFonts w:hint="default" w:eastAsia="宋体"/>
                <w:lang w:val="en-US" w:eastAsia="zh-CN"/>
              </w:rPr>
            </w:pPr>
            <w:r>
              <w:rPr>
                <w:rFonts w:hint="eastAsia"/>
                <w:lang w:val="en-US" w:eastAsia="zh-CN"/>
              </w:rPr>
              <w:t>其他工艺流程详见附件</w:t>
            </w:r>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jc w:val="center"/>
        <w:rPr>
          <w:rFonts w:hint="eastAsia"/>
        </w:rPr>
      </w:pPr>
      <w:r>
        <w:rPr>
          <w:rFonts w:hint="eastAsia"/>
        </w:rPr>
        <w:drawing>
          <wp:inline distT="0" distB="0" distL="114300" distR="114300">
            <wp:extent cx="5264785" cy="3947160"/>
            <wp:effectExtent l="0" t="0" r="12065" b="15240"/>
            <wp:docPr id="20" name="图片 20" descr="初访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初访照片"/>
                    <pic:cNvPicPr>
                      <a:picLocks noChangeAspect="1"/>
                    </pic:cNvPicPr>
                  </pic:nvPicPr>
                  <pic:blipFill>
                    <a:blip r:embed="rId15"/>
                    <a:stretch>
                      <a:fillRect/>
                    </a:stretch>
                  </pic:blipFill>
                  <pic:spPr>
                    <a:xfrm>
                      <a:off x="0" y="0"/>
                      <a:ext cx="5264785" cy="3947160"/>
                    </a:xfrm>
                    <a:prstGeom prst="rect">
                      <a:avLst/>
                    </a:prstGeom>
                  </pic:spPr>
                </pic:pic>
              </a:graphicData>
            </a:graphic>
          </wp:inline>
        </w:drawing>
      </w:r>
      <w:r>
        <w:rPr>
          <w:rFonts w:hint="eastAsia"/>
        </w:rPr>
        <w:drawing>
          <wp:inline distT="0" distB="0" distL="114300" distR="114300">
            <wp:extent cx="5264785" cy="3947160"/>
            <wp:effectExtent l="0" t="0" r="12065" b="15240"/>
            <wp:docPr id="21" name="图片 21" descr="初访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初访照片2"/>
                    <pic:cNvPicPr>
                      <a:picLocks noChangeAspect="1"/>
                    </pic:cNvPicPr>
                  </pic:nvPicPr>
                  <pic:blipFill>
                    <a:blip r:embed="rId16"/>
                    <a:stretch>
                      <a:fillRect/>
                    </a:stretch>
                  </pic:blipFill>
                  <pic:spPr>
                    <a:xfrm>
                      <a:off x="0" y="0"/>
                      <a:ext cx="5264785" cy="3947160"/>
                    </a:xfrm>
                    <a:prstGeom prst="rect">
                      <a:avLst/>
                    </a:prstGeom>
                  </pic:spPr>
                </pic:pic>
              </a:graphicData>
            </a:graphic>
          </wp:inline>
        </w:drawing>
      </w:r>
    </w:p>
    <w:p>
      <w:pPr>
        <w:rPr>
          <w:rFonts w:hint="eastAsia"/>
        </w:rPr>
      </w:pPr>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rPr>
              <w:t>吉安鸿盛化工试剂有限公司化学试剂生产及化学品经营储存项目（化学品经营储存项目）安全验收评价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6</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徐顺星</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S011041000110192002229</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Times New Roman" w:hAnsi="Times New Roman" w:eastAsia="宋体" w:cs="Times New Roman"/>
                <w:sz w:val="24"/>
              </w:rPr>
              <w:t>韦根远</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宋体" w:hAnsi="宋体" w:eastAsia="宋体" w:cs="宋体"/>
                <w:sz w:val="24"/>
                <w:lang w:val="en-US" w:eastAsia="zh-CN"/>
              </w:rPr>
              <w:t>S011044000110191001083</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宋体" w:hAnsi="宋体" w:eastAsia="宋体" w:cs="宋体"/>
                <w:sz w:val="24"/>
                <w:lang w:val="en-US" w:eastAsia="zh-CN"/>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陈武斌</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1100000000300371</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吴红玉</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1200000000300398</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sz w:val="24"/>
                <w:lang w:val="en-US" w:eastAsia="zh-CN"/>
              </w:rPr>
            </w:pPr>
            <w:r>
              <w:rPr>
                <w:rFonts w:hint="eastAsia" w:ascii="Times New Roman" w:hAnsi="Times New Roman" w:eastAsia="宋体" w:cs="Times New Roman"/>
                <w:sz w:val="24"/>
              </w:rPr>
              <w:t>岳强</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Times New Roman" w:hAnsi="Times New Roman"/>
                <w:sz w:val="24"/>
              </w:rPr>
            </w:pPr>
            <w:r>
              <w:rPr>
                <w:rFonts w:hint="eastAsia" w:ascii="宋体" w:hAnsi="宋体" w:eastAsia="宋体" w:cs="宋体"/>
                <w:sz w:val="24"/>
                <w:lang w:val="en-US" w:eastAsia="zh-CN"/>
              </w:rPr>
              <w:t>0800000000102212</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Times New Roman" w:hAnsi="Times New Roman"/>
                <w:sz w:val="24"/>
              </w:rPr>
            </w:pPr>
            <w:r>
              <w:rPr>
                <w:rFonts w:hint="eastAsia" w:ascii="宋体" w:hAnsi="宋体" w:eastAsia="宋体" w:cs="宋体"/>
                <w:sz w:val="24"/>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both"/>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sz w:val="24"/>
              </w:rPr>
              <w:t>徐顺星</w:t>
            </w:r>
            <w:r>
              <w:rPr>
                <w:rFonts w:hint="eastAsia"/>
                <w:sz w:val="24"/>
                <w:lang w:val="en-US" w:eastAsia="zh-CN"/>
              </w:rPr>
              <w:t>2023.11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bidi w:val="0"/>
              <w:ind w:firstLine="420" w:firstLineChars="200"/>
            </w:pPr>
            <w:r>
              <w:rPr>
                <w:rFonts w:hint="eastAsia"/>
                <w:color w:val="auto"/>
              </w:rPr>
              <w:t>吉安鸿盛化工试剂有限公司</w:t>
            </w:r>
            <w:r>
              <w:rPr>
                <w:rFonts w:hint="eastAsia"/>
                <w:color w:val="auto"/>
                <w:szCs w:val="28"/>
              </w:rPr>
              <w:t>于2015年05月28日成立，公司位于江西省吉安市井冈山经济技术开发区富滩工业园B区控规C-2-01-2地块，公司法人代表：严江山，吉安鸿盛化工试剂有限公司的经营许可范围中许可项目为危险化学品生产，危险化学品经营（依法须经批准的项目，经相关部门批准后在许可有效期内方可开展经营活动，具体经营项目和许可期限以相关部门批准文件或许可证件为准）一般项目：化工产品生产（不含许可类化工产品），化工产品销售（不含许可类化工产品），专用化学产品销售（不含危险化学品），专用化学产品制造（不含危险化学品），合成材料销售，玻璃仪器销售，电子专用材料制造，电子专用材料销售，建筑材料销售，建筑用钢筋产品销售（除依法须经批准的项目外，营业执照依法自主开展经营活动）。</w:t>
            </w:r>
          </w:p>
          <w:p>
            <w:pPr>
              <w:ind w:firstLine="480"/>
              <w:rPr>
                <w:rFonts w:hint="eastAsia"/>
                <w:color w:val="auto"/>
              </w:rPr>
            </w:pPr>
            <w:r>
              <w:rPr>
                <w:rFonts w:hint="eastAsia"/>
                <w:color w:val="auto"/>
              </w:rPr>
              <w:t>吉安鸿盛化工试剂有限公司于2015年1月19日取得青原区发展和改革委员会颁发的《关于吉安鸿盛化工试剂有限公司化学试剂生产及化学品经营储存项目备案的通知》，项目名称为吉安鸿盛化工试剂有限公司化学试剂生产及化学品经营储存项目，备案编号为吉青发改字〔2015〕7号，项目主要建设内容为年产5万吨试剂硫酸、1万吨试剂硝酸、1万吨试剂盐酸的生产能力，同时仓储式经营销售1000t/a甲苯、1000t/a97%乙醇、1000t/a95%乙醇、2000t/a甲醇、1000t/a丙酮、1000t/a</w:t>
            </w:r>
            <w:r>
              <w:rPr>
                <w:rFonts w:hint="eastAsia"/>
                <w:color w:val="auto"/>
                <w:lang w:val="en-US" w:eastAsia="zh-CN"/>
              </w:rPr>
              <w:t>醋酸酐</w:t>
            </w:r>
            <w:r>
              <w:rPr>
                <w:rFonts w:hint="eastAsia"/>
                <w:color w:val="auto"/>
              </w:rPr>
              <w:t>、1000t/a液碱、1000t/a双氧水、1000t/a氨水。</w:t>
            </w:r>
          </w:p>
          <w:p>
            <w:pPr>
              <w:ind w:firstLine="480"/>
              <w:rPr>
                <w:rFonts w:hint="eastAsia"/>
                <w:color w:val="auto"/>
              </w:rPr>
            </w:pPr>
            <w:r>
              <w:rPr>
                <w:rFonts w:hint="eastAsia"/>
                <w:color w:val="auto"/>
              </w:rPr>
              <w:t>吉安鸿盛化工试剂有限公司于2015年3月委托江西赣昌安全生产科技服务有限公司编制《吉安鸿盛化工试剂有限公司化学试剂生产及危险化学品经营储存项目安全预评价报告》并于2015年4月24日通过了吉安市安全生产监督管理局组织的安全条件审查，审查通过后出具《危险化学品建设项目安全条件审查意见书》（编号为：吉市危化项目安条审字〔2015〕24号）。</w:t>
            </w:r>
          </w:p>
          <w:p>
            <w:pPr>
              <w:ind w:firstLine="480"/>
              <w:rPr>
                <w:rFonts w:hint="eastAsia"/>
                <w:color w:val="auto"/>
              </w:rPr>
            </w:pPr>
            <w:r>
              <w:rPr>
                <w:rFonts w:hint="eastAsia"/>
                <w:color w:val="auto"/>
              </w:rPr>
              <w:t>吉安鸿盛化工试剂有限公司于2016年4月委托江西省化学工业设计院编制《吉安鸿盛化工试剂有限公司化学试剂生产及危险化学品经营储存项目安全设施设计专篇》并于2016年06月08日通过了吉安市安全生产监督管理局组织的安全设施设计审查，审查通过后出具《危险化学品建设项目安全设施设计审查意见书》（编号为：吉市危化项目安设审字〔2016〕15号）。</w:t>
            </w:r>
          </w:p>
          <w:p>
            <w:pPr>
              <w:ind w:firstLine="480"/>
              <w:rPr>
                <w:rFonts w:hint="eastAsia"/>
                <w:color w:val="auto"/>
              </w:rPr>
            </w:pPr>
            <w:r>
              <w:rPr>
                <w:rFonts w:hint="eastAsia"/>
                <w:color w:val="auto"/>
              </w:rPr>
              <w:t>吉安鸿盛化工试剂有限公司于2020年10月委托江西省赣华安全科技有限公司编制《吉安鸿盛化工试剂有限公司50000t/a试剂硫酸项目（一期25000t/a）安全验收评价报告》。</w:t>
            </w:r>
          </w:p>
          <w:p>
            <w:pPr>
              <w:ind w:firstLine="480"/>
              <w:rPr>
                <w:sz w:val="24"/>
              </w:rPr>
            </w:pPr>
            <w:r>
              <w:rPr>
                <w:rFonts w:hint="eastAsia"/>
                <w:color w:val="auto"/>
              </w:rPr>
              <w:t>吉安鸿盛化工试剂有限公司于2022年6月委托江西省化学工业设计院编制《吉安鸿盛化工试剂有限公司化学试剂生产及危险化学品经营储存项目设计变更说明》。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bidi w:val="0"/>
            </w:pPr>
            <w:r>
              <w:t>工艺流程简图</w:t>
            </w:r>
          </w:p>
          <w:p>
            <w:pPr>
              <w:ind w:firstLine="480"/>
              <w:rPr>
                <w:rFonts w:hint="eastAsia"/>
                <w:color w:val="auto"/>
              </w:rPr>
            </w:pPr>
            <w:r>
              <w:rPr>
                <w:rFonts w:hint="eastAsia"/>
                <w:color w:val="auto"/>
              </w:rPr>
              <w:t>由槽车运来的甲类溶剂经卸车泵卸入甲类罐区各储罐储存；储罐甲类溶剂通过高位差流到灌装车间的罐装口，然后再分装到各物料桶。分装好的物料桶运至206甲类仓库（甲类）储存。分装过程中的尾气高空排放。</w:t>
            </w:r>
          </w:p>
          <w:p>
            <w:pPr>
              <w:bidi w:val="0"/>
              <w:rPr>
                <w:rFonts w:hint="eastAsia"/>
                <w:color w:val="auto"/>
              </w:rPr>
            </w:pPr>
            <w:r>
              <w:rPr>
                <w:rFonts w:hint="eastAsia"/>
                <w:color w:val="auto"/>
              </w:rPr>
              <w:drawing>
                <wp:inline distT="0" distB="0" distL="114300" distR="114300">
                  <wp:extent cx="4933950" cy="582295"/>
                  <wp:effectExtent l="0" t="0" r="0" b="8255"/>
                  <wp:docPr id="2" name="图片 2" descr="微信图片_2024041716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417162308"/>
                          <pic:cNvPicPr>
                            <a:picLocks noChangeAspect="1"/>
                          </pic:cNvPicPr>
                        </pic:nvPicPr>
                        <pic:blipFill>
                          <a:blip r:embed="rId17"/>
                          <a:stretch>
                            <a:fillRect/>
                          </a:stretch>
                        </pic:blipFill>
                        <pic:spPr>
                          <a:xfrm>
                            <a:off x="0" y="0"/>
                            <a:ext cx="4933950" cy="582295"/>
                          </a:xfrm>
                          <a:prstGeom prst="rect">
                            <a:avLst/>
                          </a:prstGeom>
                          <a:noFill/>
                          <a:ln>
                            <a:noFill/>
                          </a:ln>
                        </pic:spPr>
                      </pic:pic>
                    </a:graphicData>
                  </a:graphic>
                </wp:inline>
              </w:drawing>
            </w:r>
          </w:p>
          <w:p>
            <w:pPr>
              <w:bidi w:val="0"/>
              <w:jc w:val="center"/>
              <w:rPr>
                <w:rFonts w:hint="eastAsia" w:eastAsia="宋体"/>
                <w:b/>
                <w:bCs/>
                <w:color w:val="auto"/>
                <w:lang w:val="en-US" w:eastAsia="zh-CN"/>
              </w:rPr>
            </w:pPr>
            <w:r>
              <w:rPr>
                <w:rFonts w:hint="eastAsia"/>
                <w:b/>
                <w:bCs/>
                <w:color w:val="auto"/>
              </w:rPr>
              <w:t>储存经营化学品中205甲类罐区（甲类）工艺</w:t>
            </w:r>
            <w:r>
              <w:rPr>
                <w:rFonts w:hint="eastAsia"/>
                <w:b/>
                <w:bCs/>
                <w:color w:val="auto"/>
                <w:lang w:val="en-US" w:eastAsia="zh-CN"/>
              </w:rPr>
              <w:t>图</w:t>
            </w:r>
          </w:p>
          <w:p>
            <w:pPr>
              <w:ind w:firstLine="480"/>
              <w:rPr>
                <w:rFonts w:hint="eastAsia"/>
                <w:color w:val="auto"/>
              </w:rPr>
            </w:pPr>
            <w:r>
              <w:rPr>
                <w:rFonts w:hint="eastAsia"/>
                <w:color w:val="auto"/>
              </w:rPr>
              <w:t>由槽车运来的酸碱物料经卸车泵卸入酸碱罐区各储罐储存；储罐酸碱物料通过高位差流到丁类仓库分隔出的灌装口，然后分装到各物料桶。分装好的物料桶储存在207丁类仓库1（丁类）中。分装过程中的尾气去车间尾气吸收系统。</w:t>
            </w:r>
          </w:p>
          <w:p>
            <w:pPr>
              <w:bidi w:val="0"/>
              <w:jc w:val="center"/>
              <w:rPr>
                <w:rFonts w:hint="eastAsia"/>
                <w:color w:val="auto"/>
              </w:rPr>
            </w:pPr>
            <w:r>
              <w:rPr>
                <w:rFonts w:hint="eastAsia"/>
                <w:color w:val="auto"/>
              </w:rPr>
              <w:drawing>
                <wp:inline distT="0" distB="0" distL="114300" distR="114300">
                  <wp:extent cx="4972685" cy="582295"/>
                  <wp:effectExtent l="0" t="0" r="18415" b="8255"/>
                  <wp:docPr id="3" name="图片 3" descr="微信图片_2024041716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417162308"/>
                          <pic:cNvPicPr>
                            <a:picLocks noChangeAspect="1"/>
                          </pic:cNvPicPr>
                        </pic:nvPicPr>
                        <pic:blipFill>
                          <a:blip r:embed="rId17"/>
                          <a:stretch>
                            <a:fillRect/>
                          </a:stretch>
                        </pic:blipFill>
                        <pic:spPr>
                          <a:xfrm>
                            <a:off x="0" y="0"/>
                            <a:ext cx="4972685" cy="582295"/>
                          </a:xfrm>
                          <a:prstGeom prst="rect">
                            <a:avLst/>
                          </a:prstGeom>
                          <a:noFill/>
                          <a:ln>
                            <a:noFill/>
                          </a:ln>
                        </pic:spPr>
                      </pic:pic>
                    </a:graphicData>
                  </a:graphic>
                </wp:inline>
              </w:drawing>
            </w:r>
          </w:p>
          <w:p>
            <w:pPr>
              <w:bidi w:val="0"/>
              <w:jc w:val="center"/>
              <w:rPr>
                <w:rFonts w:hint="eastAsia" w:eastAsia="宋体"/>
                <w:b/>
                <w:bCs/>
                <w:color w:val="auto"/>
                <w:lang w:val="en-US" w:eastAsia="zh-CN"/>
              </w:rPr>
            </w:pPr>
            <w:r>
              <w:rPr>
                <w:rFonts w:hint="eastAsia"/>
                <w:b/>
                <w:bCs/>
                <w:color w:val="auto"/>
              </w:rPr>
              <w:t>储存经营化学品中204酸碱罐区（戊类）工艺</w:t>
            </w:r>
            <w:r>
              <w:rPr>
                <w:rFonts w:hint="eastAsia"/>
                <w:b/>
                <w:bCs/>
                <w:color w:val="auto"/>
                <w:lang w:val="en-US" w:eastAsia="zh-CN"/>
              </w:rPr>
              <w:t>图</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jc w:val="center"/>
        <w:rPr>
          <w:rFonts w:hint="eastAsia" w:eastAsia="宋体"/>
          <w:lang w:eastAsia="zh-CN"/>
        </w:rPr>
      </w:pPr>
      <w:r>
        <w:rPr>
          <w:rFonts w:hint="eastAsia"/>
        </w:rPr>
        <w:drawing>
          <wp:inline distT="0" distB="0" distL="114300" distR="114300">
            <wp:extent cx="5274310" cy="3955415"/>
            <wp:effectExtent l="0" t="0" r="2540" b="6985"/>
            <wp:docPr id="5" name="图片 5" descr="照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照片4"/>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6" name="图片 6" descr="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照片1"/>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55"/>
        <w:gridCol w:w="1056"/>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7974"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eastAsia="宋体" w:cs="宋体"/>
                <w:color w:val="auto"/>
                <w:spacing w:val="-6"/>
                <w:sz w:val="24"/>
                <w:szCs w:val="24"/>
                <w:highlight w:val="none"/>
                <w:lang w:val="en-US" w:eastAsia="zh-CN"/>
              </w:rPr>
              <w:t>吉安鸿盛化工试剂有限公司年产25000吨试剂硫酸项目自动化提升改造安全验收评价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7974"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6</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25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05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徐顺星</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S011041000110192002229</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255"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05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Times New Roman" w:hAnsi="Times New Roman" w:eastAsia="宋体" w:cs="Times New Roman"/>
                <w:sz w:val="24"/>
              </w:rPr>
              <w:t>韦根远</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宋体" w:hAnsi="宋体" w:eastAsia="宋体" w:cs="宋体"/>
                <w:sz w:val="24"/>
                <w:lang w:val="en-US" w:eastAsia="zh-CN"/>
              </w:rPr>
              <w:t>S011044000110191001083</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color w:val="000000"/>
                <w:sz w:val="24"/>
              </w:rPr>
            </w:pPr>
            <w:r>
              <w:rPr>
                <w:rFonts w:hint="eastAsia" w:ascii="宋体" w:hAnsi="宋体" w:eastAsia="宋体" w:cs="宋体"/>
                <w:sz w:val="24"/>
                <w:lang w:val="en-US" w:eastAsia="zh-CN"/>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5" w:type="dxa"/>
            <w:vMerge w:val="continue"/>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陈武斌</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1100000000300371</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5" w:type="dxa"/>
            <w:vMerge w:val="continue"/>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Times New Roman" w:hAnsi="Times New Roman" w:eastAsia="宋体" w:cs="Times New Roman"/>
                <w:sz w:val="24"/>
              </w:rPr>
              <w:t>吴红玉</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1200000000300398</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sz w:val="24"/>
              </w:rPr>
            </w:pPr>
            <w:r>
              <w:rPr>
                <w:rFonts w:hint="eastAsia" w:ascii="宋体" w:hAnsi="宋体" w:eastAsia="宋体" w:cs="宋体"/>
                <w:sz w:val="24"/>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5" w:type="dxa"/>
            <w:vMerge w:val="continue"/>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sz w:val="24"/>
                <w:lang w:val="en-US" w:eastAsia="zh-CN"/>
              </w:rPr>
            </w:pPr>
            <w:r>
              <w:rPr>
                <w:rFonts w:hint="eastAsia" w:ascii="Times New Roman" w:hAnsi="Times New Roman" w:eastAsia="宋体" w:cs="Times New Roman"/>
                <w:sz w:val="24"/>
              </w:rPr>
              <w:t>岳强</w:t>
            </w:r>
          </w:p>
        </w:tc>
        <w:tc>
          <w:tcPr>
            <w:tcW w:w="480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Times New Roman" w:hAnsi="Times New Roman"/>
                <w:sz w:val="24"/>
              </w:rPr>
            </w:pPr>
            <w:r>
              <w:rPr>
                <w:rFonts w:hint="eastAsia" w:ascii="宋体" w:hAnsi="宋体" w:eastAsia="宋体" w:cs="宋体"/>
                <w:sz w:val="24"/>
                <w:lang w:val="en-US" w:eastAsia="zh-CN"/>
              </w:rPr>
              <w:t>0800000000102212</w:t>
            </w:r>
          </w:p>
        </w:tc>
        <w:tc>
          <w:tcPr>
            <w:tcW w:w="2115"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ascii="Times New Roman" w:hAnsi="Times New Roman"/>
                <w:sz w:val="24"/>
              </w:rPr>
            </w:pPr>
            <w:r>
              <w:rPr>
                <w:rFonts w:hint="eastAsia" w:ascii="宋体" w:hAnsi="宋体" w:eastAsia="宋体" w:cs="宋体"/>
                <w:sz w:val="24"/>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widowControl/>
              <w:spacing w:after="150"/>
              <w:jc w:val="both"/>
              <w:rPr>
                <w:rFonts w:ascii="宋体" w:hAnsi="宋体" w:cs="宋体"/>
                <w:sz w:val="24"/>
              </w:rPr>
            </w:pPr>
            <w:r>
              <w:rPr>
                <w:rFonts w:hint="eastAsia" w:ascii="宋体" w:hAnsi="宋体" w:cs="宋体"/>
                <w:kern w:val="0"/>
                <w:sz w:val="24"/>
                <w:shd w:val="clear" w:color="auto" w:fill="FFFFFF"/>
              </w:rPr>
              <w:t>技术专家</w:t>
            </w:r>
          </w:p>
        </w:tc>
        <w:tc>
          <w:tcPr>
            <w:tcW w:w="7974"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974"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sz w:val="24"/>
              </w:rPr>
              <w:t>徐顺星</w:t>
            </w:r>
            <w:r>
              <w:rPr>
                <w:rFonts w:hint="eastAsia"/>
                <w:sz w:val="24"/>
                <w:lang w:val="en-US" w:eastAsia="zh-CN"/>
              </w:rPr>
              <w:t>2023.11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974"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7974" w:type="dxa"/>
            <w:gridSpan w:val="3"/>
            <w:tcBorders>
              <w:tl2br w:val="nil"/>
              <w:tr2bl w:val="nil"/>
            </w:tcBorders>
            <w:shd w:val="clear" w:color="auto" w:fill="FFFFFF"/>
          </w:tcPr>
          <w:p>
            <w:pPr>
              <w:ind w:firstLine="480"/>
              <w:rPr>
                <w:rFonts w:ascii="宋体" w:hAnsi="宋体" w:cs="宋体"/>
                <w:color w:val="auto"/>
                <w:sz w:val="24"/>
                <w:szCs w:val="24"/>
              </w:rPr>
            </w:pPr>
            <w:r>
              <w:rPr>
                <w:rFonts w:hint="eastAsia" w:ascii="宋体" w:hAnsi="宋体" w:cs="宋体"/>
                <w:color w:val="auto"/>
                <w:sz w:val="24"/>
                <w:szCs w:val="24"/>
              </w:rPr>
              <w:t>吉安鸿盛化工试剂有限公司于2015年05月28日成立，公司位于江西省吉安市井冈山经济技术开发区富滩工业园B区控规C-2-01-2地块，公司法人代表：严江山，吉安鸿盛化工试剂有限公司的经营许可范围中许可项目为危险化学品生产，危险化学品经营（依法须经批准的项目，经相关部门批准后在许可有效期内方可开展经营活动，具体经营项目和许可期限以相关部门批准文件或许可证件为准）一般项目：化工产品生产（不含许可类化工产品），化工产品销售（不含许可类化工产品），专用化学产品销售（不含危险化学品），专用化学产品制造（不含危险化学品），合成材料销售，玻璃仪器销售，电子专用材料制造，电子专用材料销售，建筑材料销售，建筑用钢筋产品销售（除依法须经批准的项目外，营业执照依法自主开展经营活动）。</w:t>
            </w:r>
          </w:p>
          <w:p>
            <w:pPr>
              <w:ind w:firstLine="480"/>
              <w:rPr>
                <w:rFonts w:ascii="宋体" w:hAnsi="宋体" w:cs="宋体"/>
                <w:color w:val="FF0000"/>
                <w:sz w:val="24"/>
                <w:szCs w:val="24"/>
              </w:rPr>
            </w:pPr>
            <w:r>
              <w:rPr>
                <w:rFonts w:hint="eastAsia" w:ascii="宋体" w:hAnsi="宋体" w:cs="宋体"/>
                <w:color w:val="auto"/>
                <w:sz w:val="24"/>
                <w:szCs w:val="24"/>
              </w:rPr>
              <w:t>根据《江西省应急管理厅关于印发（江西省化工企业自动化提升实施方案）（试行）的通知》（赣应急字〔2021〕190号）、《化工企业自动化提升要求》等相关规范、规定、标准及文件的要求，本次评价为该公司年产25000吨试剂硫酸项目全流程自动化控制改造工程安全验收评价报告。</w:t>
            </w:r>
          </w:p>
          <w:p>
            <w:pPr>
              <w:ind w:firstLine="480"/>
              <w:jc w:val="both"/>
              <w:rPr>
                <w:rFonts w:ascii="宋体" w:hAnsi="宋体" w:cs="宋体"/>
                <w:color w:val="auto"/>
                <w:sz w:val="24"/>
                <w:szCs w:val="24"/>
              </w:rPr>
            </w:pPr>
            <w:r>
              <w:rPr>
                <w:rFonts w:hint="eastAsia" w:ascii="宋体" w:hAnsi="宋体" w:cs="宋体"/>
                <w:color w:val="auto"/>
                <w:sz w:val="24"/>
                <w:szCs w:val="24"/>
              </w:rPr>
              <w:t>2022年7月，吉安鸿盛化工试剂有限公司已委托黑龙江龙维化学工程设计有限公司对其在役生产装置进行全流程自动化控制诊断，并编制出具了《吉安鸿盛化工试剂有限公司在役化工生产装置全流程自动化控制诊断报告》（以下简称“诊断报告”）。</w:t>
            </w:r>
          </w:p>
          <w:p>
            <w:pPr>
              <w:ind w:firstLine="480"/>
              <w:jc w:val="both"/>
              <w:rPr>
                <w:rFonts w:ascii="宋体" w:hAnsi="宋体" w:cs="宋体"/>
                <w:sz w:val="24"/>
                <w:szCs w:val="24"/>
              </w:rPr>
            </w:pPr>
            <w:r>
              <w:rPr>
                <w:rFonts w:hint="eastAsia" w:ascii="宋体" w:hAnsi="宋体" w:cs="宋体"/>
                <w:sz w:val="24"/>
                <w:szCs w:val="24"/>
              </w:rPr>
              <w:t>2022年12月，</w:t>
            </w:r>
            <w:r>
              <w:rPr>
                <w:rFonts w:hint="eastAsia" w:ascii="宋体" w:hAnsi="宋体" w:cs="宋体"/>
                <w:color w:val="auto"/>
                <w:sz w:val="24"/>
                <w:szCs w:val="24"/>
              </w:rPr>
              <w:t>吉安鸿盛化工试剂有限公司</w:t>
            </w:r>
            <w:r>
              <w:rPr>
                <w:rFonts w:hint="eastAsia" w:ascii="宋体" w:hAnsi="宋体" w:cs="宋体"/>
                <w:sz w:val="24"/>
                <w:szCs w:val="24"/>
              </w:rPr>
              <w:t>在此诊断报告的基础上，委托</w:t>
            </w:r>
            <w:r>
              <w:rPr>
                <w:rFonts w:hint="eastAsia" w:ascii="宋体" w:hAnsi="宋体" w:cs="宋体"/>
                <w:color w:val="auto"/>
                <w:sz w:val="24"/>
                <w:szCs w:val="24"/>
              </w:rPr>
              <w:t>黑龙江龙维化学工程设计有限公司</w:t>
            </w:r>
            <w:r>
              <w:rPr>
                <w:rFonts w:hint="eastAsia" w:ascii="宋体" w:hAnsi="宋体" w:cs="宋体"/>
                <w:sz w:val="24"/>
                <w:szCs w:val="24"/>
              </w:rPr>
              <w:t>出具了《吉安鸿盛化工试剂有限公司化学试剂生产及危险化学品经营储存项目危险与可操作性分析（HAZOP）报告》和《吉安鸿盛化工试剂有限公司化学试剂生产及危险化学品经营储存项目安全完整性等级（SIL）定级报告》，进行自动化控制改造设计。</w:t>
            </w:r>
          </w:p>
          <w:p>
            <w:pPr>
              <w:ind w:firstLine="480"/>
              <w:jc w:val="both"/>
              <w:rPr>
                <w:rFonts w:ascii="宋体" w:hAnsi="宋体" w:cs="宋体"/>
                <w:b/>
                <w:bCs/>
                <w:color w:val="auto"/>
                <w:sz w:val="24"/>
                <w:szCs w:val="24"/>
              </w:rPr>
            </w:pPr>
            <w:r>
              <w:rPr>
                <w:rFonts w:hint="eastAsia" w:ascii="宋体" w:hAnsi="宋体" w:cs="宋体"/>
                <w:color w:val="auto"/>
                <w:sz w:val="24"/>
                <w:szCs w:val="24"/>
              </w:rPr>
              <w:t>2023年4月，黑龙江龙维化学工程设计有限公司以吉安鸿盛化工试剂有限公司所提供的工艺、设备、物料、操作工况及自控联锁关系等资料为基础进行分析编制了《吉安鸿盛化工试剂有限公司25000t/a试剂硫酸、20000t/a稀硫酸生产装置全流程自动化控制改造设计方案》。</w:t>
            </w:r>
          </w:p>
          <w:p>
            <w:pPr>
              <w:widowControl w:val="0"/>
              <w:ind w:firstLine="480"/>
              <w:jc w:val="both"/>
              <w:rPr>
                <w:sz w:val="24"/>
              </w:rPr>
            </w:pPr>
            <w:r>
              <w:rPr>
                <w:rFonts w:hint="eastAsia" w:ascii="宋体" w:hAnsi="宋体" w:cs="宋体"/>
                <w:color w:val="auto"/>
                <w:sz w:val="24"/>
                <w:szCs w:val="24"/>
              </w:rPr>
              <w:t>吉安鸿盛化工试剂有限公司25000t/a试剂硫酸、20000t/a稀硫酸生产装置项目全流程自动化控制改造工程由浙江正泰中自控制工程有限公司负责安装、调试，并于2024年4月出具了《</w:t>
            </w:r>
            <w:r>
              <w:rPr>
                <w:rFonts w:hint="eastAsia" w:ascii="宋体" w:hAnsi="宋体" w:cs="宋体"/>
                <w:color w:val="auto"/>
                <w:sz w:val="24"/>
              </w:rPr>
              <w:t>吉安鸿盛化工试剂有限公司自控项目调试报告</w:t>
            </w:r>
            <w:r>
              <w:rPr>
                <w:rFonts w:hint="eastAsia" w:ascii="宋体" w:hAnsi="宋体" w:cs="宋体"/>
                <w:color w:val="auto"/>
                <w:sz w:val="24"/>
                <w:szCs w:val="24"/>
              </w:rPr>
              <w:t>》。该公司编制了较完善的试运行前后的停、开车方案，并进行了试运行。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5" w:type="dxa"/>
            <w:tcBorders>
              <w:tl2br w:val="nil"/>
              <w:tr2bl w:val="nil"/>
            </w:tcBorders>
            <w:shd w:val="clear" w:color="auto" w:fill="FFFFFF"/>
            <w:vAlign w:val="center"/>
          </w:tcPr>
          <w:p>
            <w:pPr>
              <w:widowControl/>
              <w:spacing w:after="150"/>
              <w:jc w:val="center"/>
            </w:pPr>
            <w:r>
              <w:rPr>
                <w:rFonts w:hint="eastAsia"/>
                <w:sz w:val="24"/>
              </w:rPr>
              <w:t>工艺流程</w:t>
            </w:r>
          </w:p>
        </w:tc>
        <w:tc>
          <w:tcPr>
            <w:tcW w:w="7974" w:type="dxa"/>
            <w:gridSpan w:val="3"/>
            <w:tcBorders>
              <w:tl2br w:val="nil"/>
              <w:tr2bl w:val="nil"/>
            </w:tcBorders>
            <w:shd w:val="clear" w:color="auto" w:fill="FFFFFF"/>
          </w:tcPr>
          <w:p>
            <w:pPr>
              <w:bidi w:val="0"/>
            </w:pPr>
            <w:r>
              <w:t>工艺流程简图</w:t>
            </w:r>
          </w:p>
          <w:p>
            <w:pPr>
              <w:bidi w:val="0"/>
              <w:rPr>
                <w:b/>
                <w:bCs/>
              </w:rPr>
            </w:pPr>
            <w:r>
              <w:rPr>
                <w:rFonts w:hint="eastAsia"/>
                <w:b/>
                <w:bCs/>
              </w:rPr>
              <w:t>试剂硫酸生产工艺</w:t>
            </w:r>
          </w:p>
          <w:p>
            <w:pPr>
              <w:widowControl w:val="0"/>
              <w:ind w:firstLine="480"/>
              <w:rPr>
                <w:rFonts w:ascii="宋体" w:hAnsi="宋体" w:cs="宋体"/>
                <w:color w:val="auto"/>
                <w:sz w:val="24"/>
                <w:szCs w:val="24"/>
              </w:rPr>
            </w:pPr>
            <w:r>
              <w:rPr>
                <w:rFonts w:hint="eastAsia" w:ascii="宋体" w:hAnsi="宋体" w:cs="宋体"/>
                <w:color w:val="auto"/>
                <w:sz w:val="24"/>
                <w:szCs w:val="24"/>
              </w:rPr>
              <w:t>外购来的工业硫酸（工业一级指标）储存于位于罐区的工业硫酸储罐中，通过四氟耐酸泵输送到车间高位槽中，高位槽中预先按比例添加双氧水，用于对原料硫酸进行预处理。</w:t>
            </w:r>
          </w:p>
          <w:p>
            <w:pPr>
              <w:widowControl w:val="0"/>
              <w:ind w:firstLine="480"/>
              <w:rPr>
                <w:rFonts w:ascii="宋体" w:hAnsi="宋体" w:cs="宋体"/>
                <w:color w:val="auto"/>
                <w:sz w:val="24"/>
                <w:szCs w:val="24"/>
              </w:rPr>
            </w:pPr>
            <w:r>
              <w:rPr>
                <w:rFonts w:hint="eastAsia" w:ascii="宋体" w:hAnsi="宋体" w:cs="宋体"/>
                <w:color w:val="auto"/>
                <w:sz w:val="24"/>
                <w:szCs w:val="24"/>
              </w:rPr>
              <w:t>原料硫酸自高位槽流入车间内若干个平位槽内，再由平位槽连续均匀地分配到各套蒸馏设备中，蒸馏设备为成套设备，本身有温控设施，蒸馏设备由耐腐蚀性能极好的石英玻璃材质制造。</w:t>
            </w:r>
          </w:p>
          <w:p>
            <w:pPr>
              <w:widowControl w:val="0"/>
              <w:ind w:firstLine="480"/>
              <w:rPr>
                <w:rFonts w:ascii="宋体" w:hAnsi="宋体" w:cs="宋体"/>
                <w:color w:val="auto"/>
                <w:sz w:val="24"/>
                <w:szCs w:val="24"/>
              </w:rPr>
            </w:pPr>
            <w:r>
              <w:rPr>
                <w:rFonts w:hint="eastAsia" w:ascii="宋体" w:hAnsi="宋体" w:cs="宋体"/>
                <w:color w:val="auto"/>
                <w:sz w:val="24"/>
                <w:szCs w:val="24"/>
              </w:rPr>
              <w:t>将设备内的原料加热到沸腾蒸发状态（电炉丝加热方式供热；单套设备6KW，硫酸沸点为338℃，工业硫酸在设备里面循环加热、蒸馏，在循环进入液体的情况下，加热的电炉丝温度在800-900℃之间，蒸馏设备允许工作温度达1100℃。），硫酸蒸汽经精馏柱空冷后，从精馏柱底部流出，并经过水冷后，得到合格的试剂级硫酸。从精馏柱上部出去的低沸点物质经水冷器冷却后稀酸回收，储存于30%稀硫酸接收罐，最后再用四氟耐酸泵打入浓硫酸高位槽再次循环加热、蒸馏。最后的不冷凝气体进入车间外尾气吸收塔用碱液洗涤后排空。预处理中未反应的少量双氧水则分解为水和氧气。</w:t>
            </w:r>
          </w:p>
          <w:p>
            <w:pPr>
              <w:widowControl w:val="0"/>
              <w:ind w:firstLine="480"/>
              <w:rPr>
                <w:rFonts w:hint="eastAsia" w:ascii="宋体" w:hAnsi="宋体" w:cs="宋体"/>
                <w:color w:val="auto"/>
                <w:sz w:val="24"/>
                <w:szCs w:val="24"/>
              </w:rPr>
            </w:pPr>
            <w:r>
              <w:rPr>
                <w:rFonts w:hint="eastAsia" w:ascii="宋体" w:hAnsi="宋体" w:cs="宋体"/>
                <w:color w:val="auto"/>
                <w:sz w:val="24"/>
                <w:szCs w:val="24"/>
              </w:rPr>
              <w:t>为降低能耗，精馏柱底部出来的温度较高的试剂级硫酸进入预热器，预热常温状态的原料硫酸并降低了自身温度，再经水冷器降温后流入位于地坑内的成品中间储罐，最后再用四氟耐酸泵导入成品储罐。</w:t>
            </w:r>
          </w:p>
          <w:p>
            <w:pPr>
              <w:widowControl w:val="0"/>
              <w:rPr>
                <w:rFonts w:hint="eastAsia" w:ascii="宋体" w:hAnsi="宋体" w:cs="宋体"/>
                <w:b/>
                <w:bCs/>
                <w:color w:val="auto"/>
                <w:sz w:val="24"/>
                <w:szCs w:val="24"/>
              </w:rPr>
            </w:pPr>
            <w:r>
              <w:rPr>
                <w:rFonts w:hint="eastAsia" w:ascii="宋体" w:hAnsi="宋体" w:cs="宋体"/>
                <w:b/>
                <w:bCs/>
                <w:color w:val="auto"/>
                <w:sz w:val="24"/>
                <w:szCs w:val="24"/>
              </w:rPr>
              <w:t>试剂硫酸灌装工艺</w:t>
            </w:r>
          </w:p>
          <w:p>
            <w:pPr>
              <w:widowControl w:val="0"/>
              <w:ind w:firstLine="480"/>
              <w:rPr>
                <w:rFonts w:ascii="宋体" w:hAnsi="宋体" w:cs="宋体"/>
                <w:color w:val="auto"/>
                <w:sz w:val="24"/>
                <w:szCs w:val="24"/>
              </w:rPr>
            </w:pPr>
            <w:r>
              <w:rPr>
                <w:rFonts w:hint="eastAsia" w:ascii="宋体" w:hAnsi="宋体" w:cs="宋体"/>
                <w:color w:val="auto"/>
                <w:sz w:val="24"/>
                <w:szCs w:val="24"/>
              </w:rPr>
              <w:t>（1）试剂硫酸通过四氟耐酸泵泵入槽罐车，外运，销售。</w:t>
            </w:r>
          </w:p>
          <w:p>
            <w:pPr>
              <w:widowControl w:val="0"/>
              <w:ind w:firstLine="480"/>
              <w:rPr>
                <w:rFonts w:ascii="宋体" w:hAnsi="宋体" w:cs="宋体"/>
                <w:color w:val="auto"/>
                <w:sz w:val="24"/>
                <w:szCs w:val="24"/>
              </w:rPr>
            </w:pPr>
            <w:r>
              <w:rPr>
                <w:rFonts w:hint="eastAsia" w:ascii="宋体" w:hAnsi="宋体" w:cs="宋体"/>
                <w:color w:val="auto"/>
                <w:sz w:val="24"/>
                <w:szCs w:val="24"/>
              </w:rPr>
              <w:t>（2）试剂硫酸通过四氟耐酸泵泵入试剂硫酸生产车间中灌装间的试剂硫酸分装罐，然后通过自流入物料桶，销售。</w:t>
            </w:r>
          </w:p>
          <w:p>
            <w:pPr>
              <w:pStyle w:val="2"/>
            </w:pPr>
            <w:r>
              <w:rPr>
                <w:rFonts w:hint="eastAsia" w:ascii="宋体" w:hAnsi="宋体" w:cs="宋体"/>
                <w:color w:val="auto"/>
                <w:sz w:val="24"/>
                <w:szCs w:val="24"/>
              </w:rPr>
              <w:t>（3）灌装过程中产生的尾气进入车间外尾气吸收塔用碱液洗涤后排空。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7974"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rPr>
          <w:rFonts w:hint="eastAsia" w:eastAsia="宋体"/>
          <w:lang w:eastAsia="zh-CN"/>
        </w:rPr>
      </w:pPr>
      <w:r>
        <w:rPr>
          <w:rFonts w:hint="eastAsia"/>
        </w:rPr>
        <w:drawing>
          <wp:inline distT="0" distB="0" distL="114300" distR="114300">
            <wp:extent cx="5274310" cy="3955415"/>
            <wp:effectExtent l="0" t="0" r="2540" b="6985"/>
            <wp:docPr id="13" name="图片 13" descr="照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照片4"/>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14" name="图片 14" descr="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照片1"/>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55"/>
        <w:gridCol w:w="1056"/>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7974" w:type="dxa"/>
            <w:gridSpan w:val="3"/>
            <w:tcBorders>
              <w:tl2br w:val="nil"/>
              <w:tr2bl w:val="nil"/>
            </w:tcBorders>
            <w:shd w:val="clear" w:color="auto" w:fill="FFFFFF"/>
            <w:vAlign w:val="center"/>
          </w:tcPr>
          <w:p>
            <w:pPr>
              <w:widowControl/>
              <w:spacing w:after="150"/>
              <w:jc w:val="center"/>
              <w:rPr>
                <w:rFonts w:hint="eastAsia" w:ascii="宋体" w:hAnsi="宋体" w:cs="宋体"/>
                <w:sz w:val="24"/>
              </w:rPr>
            </w:pPr>
            <w:r>
              <w:rPr>
                <w:rFonts w:hint="eastAsia" w:ascii="宋体" w:hAnsi="宋体" w:cs="宋体"/>
                <w:sz w:val="24"/>
              </w:rPr>
              <w:t>江西金力永磁科技股份有限公司</w:t>
            </w:r>
          </w:p>
          <w:p>
            <w:pPr>
              <w:widowControl/>
              <w:spacing w:after="150"/>
              <w:jc w:val="center"/>
              <w:rPr>
                <w:rFonts w:ascii="宋体" w:hAnsi="宋体" w:cs="宋体"/>
                <w:sz w:val="24"/>
              </w:rPr>
            </w:pPr>
            <w:r>
              <w:rPr>
                <w:rFonts w:hint="eastAsia" w:ascii="宋体" w:hAnsi="宋体" w:cs="宋体"/>
                <w:sz w:val="24"/>
              </w:rPr>
              <w:t>氢气站改造项目安全预评价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7974"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6</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5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0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徐顺星</w:t>
            </w:r>
          </w:p>
        </w:tc>
        <w:tc>
          <w:tcPr>
            <w:tcW w:w="480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S011041000110192002229</w:t>
            </w:r>
          </w:p>
        </w:tc>
        <w:tc>
          <w:tcPr>
            <w:tcW w:w="21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default"/>
                <w:sz w:val="24"/>
                <w:szCs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55"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0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吴红玉</w:t>
            </w:r>
          </w:p>
        </w:tc>
        <w:tc>
          <w:tcPr>
            <w:tcW w:w="480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1200000000300398</w:t>
            </w:r>
          </w:p>
        </w:tc>
        <w:tc>
          <w:tcPr>
            <w:tcW w:w="21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vMerge w:val="continue"/>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韦根远</w:t>
            </w:r>
          </w:p>
        </w:tc>
        <w:tc>
          <w:tcPr>
            <w:tcW w:w="480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21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vMerge w:val="continue"/>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岳强</w:t>
            </w:r>
          </w:p>
        </w:tc>
        <w:tc>
          <w:tcPr>
            <w:tcW w:w="480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0800000000102212</w:t>
            </w:r>
          </w:p>
        </w:tc>
        <w:tc>
          <w:tcPr>
            <w:tcW w:w="21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vMerge w:val="continue"/>
            <w:tcBorders>
              <w:tl2br w:val="nil"/>
              <w:tr2bl w:val="nil"/>
            </w:tcBorders>
            <w:shd w:val="clear" w:color="auto" w:fill="FFFFFF"/>
            <w:vAlign w:val="center"/>
          </w:tcPr>
          <w:p>
            <w:pPr>
              <w:jc w:val="center"/>
              <w:rPr>
                <w:rFonts w:ascii="宋体" w:hAnsi="宋体" w:cs="宋体"/>
                <w:sz w:val="24"/>
              </w:rPr>
            </w:pPr>
          </w:p>
        </w:tc>
        <w:tc>
          <w:tcPr>
            <w:tcW w:w="10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陈</w:t>
            </w:r>
            <w:r>
              <w:rPr>
                <w:rFonts w:hint="eastAsia" w:ascii="Calibri" w:hAnsi="Calibri"/>
                <w:sz w:val="24"/>
                <w:szCs w:val="24"/>
                <w:lang w:val="en-US" w:eastAsia="zh-CN"/>
              </w:rPr>
              <w:t>武</w:t>
            </w:r>
            <w:r>
              <w:rPr>
                <w:rFonts w:ascii="Calibri" w:hAnsi="Calibri"/>
                <w:sz w:val="24"/>
                <w:szCs w:val="24"/>
              </w:rPr>
              <w:t>斌</w:t>
            </w:r>
          </w:p>
        </w:tc>
        <w:tc>
          <w:tcPr>
            <w:tcW w:w="480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5" w:type="dxa"/>
            <w:tcBorders>
              <w:tl2br w:val="nil"/>
              <w:tr2bl w:val="nil"/>
            </w:tcBorders>
            <w:shd w:val="clear" w:color="auto" w:fill="FFFFFF"/>
            <w:vAlign w:val="center"/>
          </w:tcPr>
          <w:p>
            <w:pPr>
              <w:widowControl/>
              <w:spacing w:after="150"/>
              <w:jc w:val="both"/>
              <w:rPr>
                <w:rFonts w:ascii="宋体" w:hAnsi="宋体" w:cs="宋体"/>
                <w:sz w:val="24"/>
              </w:rPr>
            </w:pPr>
            <w:r>
              <w:rPr>
                <w:rFonts w:hint="eastAsia" w:ascii="宋体" w:hAnsi="宋体" w:cs="宋体"/>
                <w:kern w:val="0"/>
                <w:sz w:val="24"/>
                <w:shd w:val="clear" w:color="auto" w:fill="FFFFFF"/>
              </w:rPr>
              <w:t>技术专家</w:t>
            </w:r>
          </w:p>
        </w:tc>
        <w:tc>
          <w:tcPr>
            <w:tcW w:w="7974"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974"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sz w:val="24"/>
              </w:rPr>
              <w:t>徐顺星</w:t>
            </w:r>
            <w:r>
              <w:rPr>
                <w:rFonts w:hint="eastAsia"/>
                <w:sz w:val="24"/>
                <w:lang w:eastAsia="zh-CN"/>
              </w:rPr>
              <w:t>、</w:t>
            </w:r>
            <w:r>
              <w:rPr>
                <w:rFonts w:hint="eastAsia"/>
                <w:sz w:val="24"/>
                <w:lang w:val="en-US" w:eastAsia="zh-CN"/>
              </w:rPr>
              <w:t>吴红玉2024.6.8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974"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7974" w:type="dxa"/>
            <w:gridSpan w:val="3"/>
            <w:tcBorders>
              <w:tl2br w:val="nil"/>
              <w:tr2bl w:val="nil"/>
            </w:tcBorders>
            <w:shd w:val="clear" w:color="auto" w:fill="FFFFFF"/>
          </w:tcPr>
          <w:p>
            <w:pPr>
              <w:ind w:firstLine="480"/>
              <w:rPr>
                <w:rFonts w:ascii="宋体" w:hAnsi="宋体" w:cs="宋体"/>
                <w:color w:val="auto"/>
                <w:sz w:val="24"/>
                <w:szCs w:val="24"/>
              </w:rPr>
            </w:pPr>
            <w:r>
              <w:rPr>
                <w:rFonts w:hint="eastAsia" w:ascii="宋体" w:hAnsi="宋体" w:cs="宋体"/>
                <w:color w:val="auto"/>
                <w:sz w:val="24"/>
                <w:szCs w:val="24"/>
              </w:rPr>
              <w:t>江西金力永磁科技股份有限公司成立于2008年8月19日，位于江西省赣州经济技术开发区金岭西路81号，是一家集研发、生产、销售于一体的专业稀土永磁材料高新技术企业。</w:t>
            </w:r>
          </w:p>
          <w:p>
            <w:pPr>
              <w:widowControl w:val="0"/>
              <w:ind w:firstLine="480"/>
              <w:jc w:val="both"/>
              <w:rPr>
                <w:sz w:val="24"/>
              </w:rPr>
            </w:pPr>
            <w:r>
              <w:rPr>
                <w:rFonts w:hint="eastAsia" w:ascii="宋体" w:hAnsi="宋体" w:cs="宋体"/>
                <w:color w:val="auto"/>
                <w:sz w:val="24"/>
                <w:szCs w:val="24"/>
              </w:rPr>
              <w:t>受江西金力永磁科技股份有限公司的委托，山东新安达工程咨询有限公司承担其氢气站改造项目的安全预评价工作，本次安全预评价的对象为江西金力永磁科技股份有限公司氢气站改造项目安全预评价；评价范围只针对氢气站改造部分及其配套的辅助设施、与其项目直接相关的周边环境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5" w:type="dxa"/>
            <w:tcBorders>
              <w:tl2br w:val="nil"/>
              <w:tr2bl w:val="nil"/>
            </w:tcBorders>
            <w:shd w:val="clear" w:color="auto" w:fill="FFFFFF"/>
            <w:vAlign w:val="center"/>
          </w:tcPr>
          <w:p>
            <w:pPr>
              <w:widowControl/>
              <w:spacing w:after="150"/>
              <w:jc w:val="center"/>
            </w:pPr>
            <w:r>
              <w:rPr>
                <w:rFonts w:hint="eastAsia"/>
                <w:sz w:val="24"/>
              </w:rPr>
              <w:t>工艺流程</w:t>
            </w:r>
          </w:p>
        </w:tc>
        <w:tc>
          <w:tcPr>
            <w:tcW w:w="7974" w:type="dxa"/>
            <w:gridSpan w:val="3"/>
            <w:tcBorders>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rPr>
              <w:t>制氢工艺采用与公司现有一致的水电解制氢工艺：拆除氢气站现有的的1套ZDQ-40/1.5水电解制氢设备及其配套的装置，更换为1套ZDQ-80/1.5水电解制氢设备及其相应的配套装置，达到提高小时制氢量的需求。本项目氢气纯度为99.8%，电解系统工作压力为1.5Mpa，工作温度为85～90℃。氧气排空管引至室外安全处，放空管口高出屋脊2m，且距地面均不低于4.5m。水电解工艺技术参数如下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表2.5 新增水电解制氢设备工艺技术参数一览表</w:t>
            </w:r>
          </w:p>
          <w:tbl>
            <w:tblPr>
              <w:tblStyle w:val="7"/>
              <w:tblW w:w="76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633"/>
              <w:gridCol w:w="3160"/>
              <w:gridCol w:w="1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40" w:type="dxa"/>
                  <w:tcBorders>
                    <w:top w:val="single" w:color="auto" w:sz="12"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序号</w:t>
                  </w:r>
                </w:p>
              </w:tc>
              <w:tc>
                <w:tcPr>
                  <w:tcW w:w="1633"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项目</w:t>
                  </w:r>
                </w:p>
              </w:tc>
              <w:tc>
                <w:tcPr>
                  <w:tcW w:w="3160"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参数</w:t>
                  </w:r>
                </w:p>
              </w:tc>
              <w:tc>
                <w:tcPr>
                  <w:tcW w:w="1865" w:type="dxa"/>
                  <w:tcBorders>
                    <w:top w:val="single" w:color="auto" w:sz="12"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1</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氢气产量：</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80 m</w:t>
                  </w:r>
                  <w:r>
                    <w:rPr>
                      <w:rFonts w:ascii="Times New Roman" w:hAnsi="Times New Roman" w:eastAsia="宋体" w:cs="Times New Roman"/>
                      <w:bCs/>
                      <w:kern w:val="2"/>
                      <w:sz w:val="24"/>
                      <w:szCs w:val="24"/>
                      <w:vertAlign w:val="superscript"/>
                      <w:lang w:val="en-US" w:eastAsia="zh-CN" w:bidi="ar"/>
                    </w:rPr>
                    <w:t>3</w:t>
                  </w:r>
                  <w:r>
                    <w:rPr>
                      <w:rFonts w:ascii="Times New Roman" w:hAnsi="Times New Roman" w:eastAsia="宋体" w:cs="Times New Roman"/>
                      <w:bCs/>
                      <w:kern w:val="2"/>
                      <w:sz w:val="24"/>
                      <w:szCs w:val="24"/>
                      <w:lang w:val="en-US" w:eastAsia="zh-CN" w:bidi="ar"/>
                    </w:rPr>
                    <w:t xml:space="preserve">/h </w:t>
                  </w:r>
                  <w:r>
                    <w:rPr>
                      <w:rFonts w:hint="eastAsia" w:ascii="Times New Roman" w:hAnsi="Times New Roman" w:eastAsia="宋体" w:cs="Times New Roman"/>
                      <w:bCs/>
                      <w:kern w:val="2"/>
                      <w:sz w:val="24"/>
                      <w:szCs w:val="24"/>
                      <w:lang w:val="en-US" w:eastAsia="zh-CN" w:bidi="ar"/>
                    </w:rPr>
                    <w:t>（</w:t>
                  </w:r>
                  <w:r>
                    <w:rPr>
                      <w:rFonts w:ascii="Times New Roman" w:hAnsi="Times New Roman" w:eastAsia="宋体" w:cs="Times New Roman"/>
                      <w:bCs/>
                      <w:kern w:val="2"/>
                      <w:sz w:val="24"/>
                      <w:szCs w:val="24"/>
                      <w:lang w:val="en-US" w:eastAsia="zh-CN" w:bidi="ar"/>
                    </w:rPr>
                    <w:t>1atm  20℃</w:t>
                  </w:r>
                  <w:r>
                    <w:rPr>
                      <w:rFonts w:hint="eastAsia" w:ascii="Times New Roman" w:hAnsi="Times New Roman" w:eastAsia="宋体" w:cs="Times New Roman"/>
                      <w:bCs/>
                      <w:kern w:val="2"/>
                      <w:sz w:val="24"/>
                      <w:szCs w:val="24"/>
                      <w:lang w:val="en-US" w:eastAsia="zh-CN" w:bidi="ar"/>
                    </w:rPr>
                    <w:t>）</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2</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氧气产量：</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40 m</w:t>
                  </w:r>
                  <w:r>
                    <w:rPr>
                      <w:rFonts w:ascii="Times New Roman" w:hAnsi="Times New Roman" w:eastAsia="宋体" w:cs="Times New Roman"/>
                      <w:bCs/>
                      <w:kern w:val="2"/>
                      <w:sz w:val="24"/>
                      <w:szCs w:val="24"/>
                      <w:vertAlign w:val="superscript"/>
                      <w:lang w:val="en-US" w:eastAsia="zh-CN" w:bidi="ar"/>
                    </w:rPr>
                    <w:t>3</w:t>
                  </w:r>
                  <w:r>
                    <w:rPr>
                      <w:rFonts w:ascii="Times New Roman" w:hAnsi="Times New Roman" w:eastAsia="宋体" w:cs="Times New Roman"/>
                      <w:bCs/>
                      <w:kern w:val="2"/>
                      <w:sz w:val="24"/>
                      <w:szCs w:val="24"/>
                      <w:lang w:val="en-US" w:eastAsia="zh-CN" w:bidi="ar"/>
                    </w:rPr>
                    <w:t xml:space="preserve">/h </w:t>
                  </w:r>
                  <w:r>
                    <w:rPr>
                      <w:rFonts w:hint="eastAsia" w:ascii="Times New Roman" w:hAnsi="Times New Roman" w:eastAsia="宋体" w:cs="Times New Roman"/>
                      <w:bCs/>
                      <w:kern w:val="2"/>
                      <w:sz w:val="24"/>
                      <w:szCs w:val="24"/>
                      <w:lang w:val="en-US" w:eastAsia="zh-CN" w:bidi="ar"/>
                    </w:rPr>
                    <w:t>（</w:t>
                  </w:r>
                  <w:r>
                    <w:rPr>
                      <w:rFonts w:ascii="Times New Roman" w:hAnsi="Times New Roman" w:eastAsia="宋体" w:cs="Times New Roman"/>
                      <w:bCs/>
                      <w:kern w:val="2"/>
                      <w:sz w:val="24"/>
                      <w:szCs w:val="24"/>
                      <w:lang w:val="en-US" w:eastAsia="zh-CN" w:bidi="ar"/>
                    </w:rPr>
                    <w:t>1atm  20℃</w:t>
                  </w:r>
                  <w:r>
                    <w:rPr>
                      <w:rFonts w:hint="eastAsia" w:ascii="Times New Roman" w:hAnsi="Times New Roman" w:eastAsia="宋体" w:cs="Times New Roman"/>
                      <w:bCs/>
                      <w:kern w:val="2"/>
                      <w:sz w:val="24"/>
                      <w:szCs w:val="24"/>
                      <w:lang w:val="en-US" w:eastAsia="zh-CN" w:bidi="ar"/>
                    </w:rPr>
                    <w:t>）</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3</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氢气纯度：</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≥99.8</w:t>
                  </w:r>
                  <w:r>
                    <w:rPr>
                      <w:rFonts w:hint="eastAsia" w:ascii="Times New Roman" w:hAnsi="Times New Roman" w:eastAsia="宋体" w:cs="Times New Roman"/>
                      <w:bCs/>
                      <w:kern w:val="2"/>
                      <w:sz w:val="24"/>
                      <w:szCs w:val="24"/>
                      <w:lang w:val="en-US" w:eastAsia="zh-CN" w:bidi="ar"/>
                    </w:rPr>
                    <w:t>％</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4</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氧气纯度：</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≥99.2</w:t>
                  </w:r>
                  <w:r>
                    <w:rPr>
                      <w:rFonts w:hint="eastAsia" w:ascii="Times New Roman" w:hAnsi="Times New Roman" w:eastAsia="宋体" w:cs="Times New Roman"/>
                      <w:bCs/>
                      <w:kern w:val="2"/>
                      <w:sz w:val="24"/>
                      <w:szCs w:val="24"/>
                      <w:lang w:val="en-US" w:eastAsia="zh-CN" w:bidi="ar"/>
                    </w:rPr>
                    <w:t>％</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5</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工作压力：</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1.5Mpa</w:t>
                  </w:r>
                  <w:r>
                    <w:rPr>
                      <w:rFonts w:hint="eastAsia" w:ascii="Times New Roman" w:hAnsi="Times New Roman" w:eastAsia="宋体" w:cs="Times New Roman"/>
                      <w:bCs/>
                      <w:kern w:val="2"/>
                      <w:sz w:val="24"/>
                      <w:szCs w:val="24"/>
                      <w:lang w:val="en-US" w:eastAsia="zh-CN" w:bidi="ar"/>
                    </w:rPr>
                    <w:t>（</w:t>
                  </w:r>
                  <w:r>
                    <w:rPr>
                      <w:rFonts w:ascii="Times New Roman" w:hAnsi="Times New Roman" w:eastAsia="宋体" w:cs="Times New Roman"/>
                      <w:bCs/>
                      <w:kern w:val="2"/>
                      <w:sz w:val="24"/>
                      <w:szCs w:val="24"/>
                      <w:lang w:val="en-US" w:eastAsia="zh-CN" w:bidi="ar"/>
                    </w:rPr>
                    <w:t>50%</w:t>
                  </w:r>
                  <w:r>
                    <w:rPr>
                      <w:rFonts w:hint="eastAsia" w:ascii="Times New Roman" w:hAnsi="Times New Roman" w:eastAsia="宋体" w:cs="Times New Roman"/>
                      <w:bCs/>
                      <w:kern w:val="2"/>
                      <w:sz w:val="24"/>
                      <w:szCs w:val="24"/>
                      <w:lang w:val="en-US" w:eastAsia="zh-CN" w:bidi="ar"/>
                    </w:rPr>
                    <w:t>～</w:t>
                  </w:r>
                  <w:r>
                    <w:rPr>
                      <w:rFonts w:ascii="Times New Roman" w:hAnsi="Times New Roman" w:eastAsia="宋体" w:cs="Times New Roman"/>
                      <w:bCs/>
                      <w:kern w:val="2"/>
                      <w:sz w:val="24"/>
                      <w:szCs w:val="24"/>
                      <w:lang w:val="en-US" w:eastAsia="zh-CN" w:bidi="ar"/>
                    </w:rPr>
                    <w:t>100%</w:t>
                  </w:r>
                  <w:r>
                    <w:rPr>
                      <w:rFonts w:hint="eastAsia" w:ascii="Times New Roman" w:hAnsi="Times New Roman" w:eastAsia="宋体" w:cs="Times New Roman"/>
                      <w:bCs/>
                      <w:kern w:val="2"/>
                      <w:sz w:val="24"/>
                      <w:szCs w:val="24"/>
                      <w:lang w:val="en-US" w:eastAsia="zh-CN" w:bidi="ar"/>
                    </w:rPr>
                    <w:t>可调）</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6</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工作温度：</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85</w:t>
                  </w:r>
                  <w:r>
                    <w:rPr>
                      <w:rFonts w:hint="eastAsia" w:ascii="Times New Roman" w:hAnsi="Times New Roman" w:eastAsia="宋体" w:cs="Times New Roman"/>
                      <w:bCs/>
                      <w:kern w:val="2"/>
                      <w:sz w:val="24"/>
                      <w:szCs w:val="24"/>
                      <w:lang w:val="en-US" w:eastAsia="zh-CN" w:bidi="ar"/>
                    </w:rPr>
                    <w:t>～</w:t>
                  </w:r>
                  <w:r>
                    <w:rPr>
                      <w:rFonts w:ascii="Times New Roman" w:hAnsi="Times New Roman" w:eastAsia="宋体" w:cs="Times New Roman"/>
                      <w:bCs/>
                      <w:kern w:val="2"/>
                      <w:sz w:val="24"/>
                      <w:szCs w:val="24"/>
                      <w:lang w:val="en-US" w:eastAsia="zh-CN" w:bidi="ar"/>
                    </w:rPr>
                    <w:t>90℃</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7</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工作电压：</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234V</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8</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工作电流：</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1560A</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position w:val="-6"/>
                      <w:sz w:val="24"/>
                      <w:szCs w:val="24"/>
                      <w:lang w:val="en-US" w:eastAsia="zh-CN" w:bidi="ar-SA"/>
                    </w:rPr>
                  </w:pPr>
                  <w:r>
                    <w:rPr>
                      <w:rFonts w:ascii="Times New Roman" w:hAnsi="Times New Roman" w:eastAsia="宋体" w:cs="Times New Roman"/>
                      <w:bCs/>
                      <w:kern w:val="2"/>
                      <w:position w:val="-6"/>
                      <w:sz w:val="24"/>
                      <w:szCs w:val="24"/>
                      <w:lang w:val="en-US" w:eastAsia="zh-CN" w:bidi="ar"/>
                    </w:rPr>
                    <w:t>9</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氢气含水量：</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≤4g/m</w:t>
                  </w:r>
                  <w:r>
                    <w:rPr>
                      <w:rFonts w:ascii="Times New Roman" w:hAnsi="Times New Roman" w:eastAsia="宋体" w:cs="Times New Roman"/>
                      <w:bCs/>
                      <w:kern w:val="2"/>
                      <w:sz w:val="24"/>
                      <w:szCs w:val="24"/>
                      <w:vertAlign w:val="superscript"/>
                      <w:lang w:val="en-US" w:eastAsia="zh-CN" w:bidi="ar"/>
                    </w:rPr>
                    <w:t>3</w:t>
                  </w:r>
                  <w:r>
                    <w:rPr>
                      <w:rFonts w:ascii="Times New Roman" w:hAnsi="Times New Roman" w:eastAsia="宋体" w:cs="Times New Roman"/>
                      <w:bCs/>
                      <w:kern w:val="2"/>
                      <w:sz w:val="24"/>
                      <w:szCs w:val="24"/>
                      <w:lang w:val="en-US" w:eastAsia="zh-CN" w:bidi="ar"/>
                    </w:rPr>
                    <w:t>H</w:t>
                  </w:r>
                  <w:r>
                    <w:rPr>
                      <w:rFonts w:ascii="Times New Roman" w:hAnsi="Times New Roman" w:eastAsia="宋体" w:cs="Times New Roman"/>
                      <w:bCs/>
                      <w:kern w:val="2"/>
                      <w:sz w:val="24"/>
                      <w:szCs w:val="24"/>
                      <w:vertAlign w:val="subscript"/>
                      <w:lang w:val="en-US" w:eastAsia="zh-CN" w:bidi="ar"/>
                    </w:rPr>
                    <w:t>2</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40" w:type="dxa"/>
                  <w:tcBorders>
                    <w:top w:val="single" w:color="auto" w:sz="4" w:space="0"/>
                    <w:left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position w:val="-6"/>
                      <w:sz w:val="24"/>
                      <w:szCs w:val="24"/>
                      <w:lang w:val="en-US" w:eastAsia="zh-CN" w:bidi="ar-SA"/>
                    </w:rPr>
                  </w:pPr>
                  <w:r>
                    <w:rPr>
                      <w:rFonts w:ascii="Times New Roman" w:hAnsi="Times New Roman" w:eastAsia="宋体" w:cs="Times New Roman"/>
                      <w:bCs/>
                      <w:kern w:val="2"/>
                      <w:position w:val="-6"/>
                      <w:sz w:val="24"/>
                      <w:szCs w:val="24"/>
                      <w:lang w:val="en-US" w:eastAsia="zh-CN" w:bidi="ar"/>
                    </w:rPr>
                    <w:t>10</w:t>
                  </w:r>
                </w:p>
              </w:tc>
              <w:tc>
                <w:tcPr>
                  <w:tcW w:w="1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氢气含碱量：</w:t>
                  </w:r>
                </w:p>
              </w:tc>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≤1mg/m</w:t>
                  </w:r>
                  <w:r>
                    <w:rPr>
                      <w:rFonts w:ascii="Times New Roman" w:hAnsi="Times New Roman" w:eastAsia="宋体" w:cs="Times New Roman"/>
                      <w:bCs/>
                      <w:kern w:val="2"/>
                      <w:sz w:val="24"/>
                      <w:szCs w:val="24"/>
                      <w:vertAlign w:val="superscript"/>
                      <w:lang w:val="en-US" w:eastAsia="zh-CN" w:bidi="ar"/>
                    </w:rPr>
                    <w:t>3</w:t>
                  </w:r>
                  <w:r>
                    <w:rPr>
                      <w:rFonts w:ascii="Times New Roman" w:hAnsi="Times New Roman" w:eastAsia="宋体" w:cs="Times New Roman"/>
                      <w:bCs/>
                      <w:kern w:val="2"/>
                      <w:sz w:val="24"/>
                      <w:szCs w:val="24"/>
                      <w:lang w:val="en-US" w:eastAsia="zh-CN" w:bidi="ar"/>
                    </w:rPr>
                    <w:t xml:space="preserve"> H</w:t>
                  </w:r>
                  <w:r>
                    <w:rPr>
                      <w:rFonts w:ascii="Times New Roman" w:hAnsi="Times New Roman" w:eastAsia="宋体" w:cs="Times New Roman"/>
                      <w:bCs/>
                      <w:kern w:val="2"/>
                      <w:sz w:val="24"/>
                      <w:szCs w:val="24"/>
                      <w:vertAlign w:val="subscript"/>
                      <w:lang w:val="en-US" w:eastAsia="zh-CN" w:bidi="ar"/>
                    </w:rPr>
                    <w:t>2</w:t>
                  </w:r>
                </w:p>
              </w:tc>
              <w:tc>
                <w:tcPr>
                  <w:tcW w:w="186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0" w:type="dxa"/>
                  <w:tcBorders>
                    <w:top w:val="single" w:color="auto" w:sz="4" w:space="0"/>
                    <w:left w:val="single" w:color="auto" w:sz="12"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11</w:t>
                  </w:r>
                </w:p>
              </w:tc>
              <w:tc>
                <w:tcPr>
                  <w:tcW w:w="1633"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
                    </w:rPr>
                    <w:t>直流电耗：</w:t>
                  </w:r>
                </w:p>
              </w:tc>
              <w:tc>
                <w:tcPr>
                  <w:tcW w:w="316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
                    </w:rPr>
                    <w:t>≤4.6KWh/m</w:t>
                  </w:r>
                  <w:r>
                    <w:rPr>
                      <w:rFonts w:ascii="Times New Roman" w:hAnsi="Times New Roman" w:eastAsia="宋体" w:cs="Times New Roman"/>
                      <w:bCs/>
                      <w:kern w:val="2"/>
                      <w:sz w:val="24"/>
                      <w:szCs w:val="24"/>
                      <w:vertAlign w:val="superscript"/>
                      <w:lang w:val="en-US" w:eastAsia="zh-CN" w:bidi="ar"/>
                    </w:rPr>
                    <w:t>3</w:t>
                  </w:r>
                  <w:r>
                    <w:rPr>
                      <w:rFonts w:ascii="Times New Roman" w:hAnsi="Times New Roman" w:eastAsia="宋体" w:cs="Times New Roman"/>
                      <w:bCs/>
                      <w:kern w:val="2"/>
                      <w:sz w:val="24"/>
                      <w:szCs w:val="24"/>
                      <w:lang w:val="en-US" w:eastAsia="zh-CN" w:bidi="ar"/>
                    </w:rPr>
                    <w:t xml:space="preserve"> H</w:t>
                  </w:r>
                  <w:r>
                    <w:rPr>
                      <w:rFonts w:ascii="Times New Roman" w:hAnsi="Times New Roman" w:eastAsia="宋体" w:cs="Times New Roman"/>
                      <w:bCs/>
                      <w:kern w:val="2"/>
                      <w:sz w:val="24"/>
                      <w:szCs w:val="24"/>
                      <w:vertAlign w:val="subscript"/>
                      <w:lang w:val="en-US" w:eastAsia="zh-CN" w:bidi="ar"/>
                    </w:rPr>
                    <w:t>2</w:t>
                  </w:r>
                </w:p>
              </w:tc>
              <w:tc>
                <w:tcPr>
                  <w:tcW w:w="1865" w:type="dxa"/>
                  <w:tcBorders>
                    <w:top w:val="single" w:color="auto" w:sz="4" w:space="0"/>
                    <w:left w:val="single" w:color="auto" w:sz="4"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Cs/>
                      <w:kern w:val="2"/>
                      <w:sz w:val="24"/>
                      <w:szCs w:val="24"/>
                      <w:lang w:val="en-US" w:eastAsia="zh-CN" w:bidi="ar-SA"/>
                    </w:rPr>
                  </w:pPr>
                </w:p>
              </w:tc>
            </w:tr>
          </w:tbl>
          <w:p>
            <w:pPr>
              <w:keepNext w:val="0"/>
              <w:keepLines w:val="0"/>
              <w:pageBreakBefore w:val="0"/>
              <w:widowControl w:val="0"/>
              <w:kinsoku/>
              <w:wordWrap/>
              <w:overflowPunct/>
              <w:topLinePunct w:val="0"/>
              <w:autoSpaceDN/>
              <w:bidi w:val="0"/>
              <w:adjustRightInd/>
              <w:spacing w:line="360" w:lineRule="exact"/>
              <w:ind w:firstLine="480" w:firstLineChars="200"/>
              <w:jc w:val="both"/>
              <w:textAlignment w:val="auto"/>
              <w:rPr>
                <w:rFonts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水电解制氢工作原理：由浸没在电解液中的一对电极中间隔以防止气体渗透的隔膜而构成的水电解池，当通以一定的直流电时，水发生分解，在阴极析出氢气，阳极析出氧气。其反应式如下：</w:t>
            </w:r>
          </w:p>
          <w:p>
            <w:pPr>
              <w:keepNext w:val="0"/>
              <w:keepLines w:val="0"/>
              <w:pageBreakBefore w:val="0"/>
              <w:widowControl w:val="0"/>
              <w:kinsoku/>
              <w:wordWrap/>
              <w:overflowPunct/>
              <w:topLinePunct w:val="0"/>
              <w:autoSpaceDE w:val="0"/>
              <w:autoSpaceDN/>
              <w:bidi w:val="0"/>
              <w:adjustRightInd/>
              <w:snapToGrid w:val="0"/>
              <w:spacing w:line="360" w:lineRule="exact"/>
              <w:ind w:firstLine="480" w:firstLineChars="200"/>
              <w:textAlignment w:val="auto"/>
              <w:rPr>
                <w:rFonts w:ascii="宋体" w:hAnsi="宋体" w:eastAsia="宋体" w:cs="Times New Roman"/>
                <w:color w:val="000000"/>
                <w:kern w:val="0"/>
                <w:sz w:val="24"/>
                <w:szCs w:val="24"/>
              </w:rPr>
            </w:pPr>
            <w:r>
              <w:rPr>
                <w:rFonts w:hint="eastAsia" w:ascii="宋体" w:hAnsi="宋体" w:eastAsia="宋体" w:cs="宋体"/>
                <w:color w:val="000000"/>
                <w:kern w:val="0"/>
                <w:sz w:val="24"/>
                <w:szCs w:val="24"/>
                <w:lang w:bidi="ar"/>
              </w:rPr>
              <w:t>阴极：</w:t>
            </w:r>
            <w:r>
              <w:rPr>
                <w:rFonts w:ascii="宋体" w:hAnsi="宋体" w:eastAsia="宋体" w:cs="Times New Roman"/>
                <w:color w:val="000000"/>
                <w:kern w:val="0"/>
                <w:sz w:val="24"/>
                <w:szCs w:val="24"/>
                <w:lang w:bidi="ar"/>
              </w:rPr>
              <w:t>4H</w:t>
            </w:r>
            <w:r>
              <w:rPr>
                <w:rFonts w:ascii="宋体" w:hAnsi="宋体" w:eastAsia="宋体" w:cs="Times New Roman"/>
                <w:color w:val="000000"/>
                <w:kern w:val="0"/>
                <w:sz w:val="24"/>
                <w:szCs w:val="24"/>
                <w:vertAlign w:val="subscript"/>
                <w:lang w:bidi="ar"/>
              </w:rPr>
              <w:t>2</w:t>
            </w:r>
            <w:r>
              <w:rPr>
                <w:rFonts w:ascii="宋体" w:hAnsi="宋体" w:eastAsia="宋体" w:cs="Times New Roman"/>
                <w:color w:val="000000"/>
                <w:kern w:val="0"/>
                <w:sz w:val="24"/>
                <w:szCs w:val="24"/>
                <w:lang w:bidi="ar"/>
              </w:rPr>
              <w:t xml:space="preserve">O + 4e </w:t>
            </w:r>
            <w:r>
              <w:rPr>
                <w:rFonts w:hint="eastAsia" w:ascii="宋体" w:hAnsi="宋体" w:eastAsia="宋体" w:cs="宋体"/>
                <w:color w:val="000000"/>
                <w:kern w:val="0"/>
                <w:sz w:val="24"/>
                <w:szCs w:val="24"/>
                <w:lang w:bidi="ar"/>
              </w:rPr>
              <w:t xml:space="preserve">→ </w:t>
            </w:r>
            <w:r>
              <w:rPr>
                <w:rFonts w:ascii="宋体" w:hAnsi="宋体" w:eastAsia="宋体" w:cs="Times New Roman"/>
                <w:color w:val="000000"/>
                <w:kern w:val="0"/>
                <w:sz w:val="24"/>
                <w:szCs w:val="24"/>
                <w:lang w:bidi="ar"/>
              </w:rPr>
              <w:t>2H</w:t>
            </w:r>
            <w:r>
              <w:rPr>
                <w:rFonts w:ascii="宋体" w:hAnsi="宋体" w:eastAsia="宋体" w:cs="Times New Roman"/>
                <w:color w:val="000000"/>
                <w:kern w:val="0"/>
                <w:sz w:val="24"/>
                <w:szCs w:val="24"/>
                <w:vertAlign w:val="subscript"/>
                <w:lang w:bidi="ar"/>
              </w:rPr>
              <w:t>2</w:t>
            </w:r>
            <w:r>
              <w:rPr>
                <w:rFonts w:hint="eastAsia" w:ascii="宋体" w:hAnsi="宋体" w:eastAsia="宋体" w:cs="宋体"/>
                <w:color w:val="000000"/>
                <w:kern w:val="0"/>
                <w:sz w:val="24"/>
                <w:szCs w:val="24"/>
                <w:lang w:bidi="ar"/>
              </w:rPr>
              <w:t>↑</w:t>
            </w:r>
            <w:r>
              <w:rPr>
                <w:rFonts w:ascii="宋体" w:hAnsi="宋体" w:eastAsia="宋体" w:cs="Times New Roman"/>
                <w:color w:val="000000"/>
                <w:kern w:val="0"/>
                <w:sz w:val="24"/>
                <w:szCs w:val="24"/>
                <w:lang w:bidi="ar"/>
              </w:rPr>
              <w:t>+ 4OH</w:t>
            </w:r>
            <w:r>
              <w:rPr>
                <w:rFonts w:ascii="宋体" w:hAnsi="宋体" w:eastAsia="宋体" w:cs="Times New Roman"/>
                <w:color w:val="000000"/>
                <w:kern w:val="0"/>
                <w:sz w:val="24"/>
                <w:szCs w:val="24"/>
                <w:vertAlign w:val="superscript"/>
                <w:lang w:bidi="ar"/>
              </w:rPr>
              <w:t>-</w:t>
            </w:r>
          </w:p>
          <w:p>
            <w:pPr>
              <w:keepNext w:val="0"/>
              <w:keepLines w:val="0"/>
              <w:pageBreakBefore w:val="0"/>
              <w:widowControl w:val="0"/>
              <w:kinsoku/>
              <w:wordWrap/>
              <w:overflowPunct/>
              <w:topLinePunct w:val="0"/>
              <w:autoSpaceDE w:val="0"/>
              <w:autoSpaceDN/>
              <w:bidi w:val="0"/>
              <w:adjustRightInd/>
              <w:snapToGrid w:val="0"/>
              <w:spacing w:line="360" w:lineRule="exact"/>
              <w:ind w:firstLine="480" w:firstLineChars="200"/>
              <w:textAlignment w:val="auto"/>
              <w:rPr>
                <w:rFonts w:ascii="宋体" w:hAnsi="宋体" w:eastAsia="宋体" w:cs="Times New Roman"/>
                <w:color w:val="000000"/>
                <w:kern w:val="0"/>
                <w:sz w:val="24"/>
                <w:szCs w:val="24"/>
              </w:rPr>
            </w:pPr>
            <w:r>
              <w:rPr>
                <w:rFonts w:hint="eastAsia" w:ascii="宋体" w:hAnsi="宋体" w:eastAsia="宋体" w:cs="宋体"/>
                <w:color w:val="000000"/>
                <w:kern w:val="0"/>
                <w:sz w:val="24"/>
                <w:szCs w:val="24"/>
                <w:lang w:bidi="ar"/>
              </w:rPr>
              <w:t>阳极：</w:t>
            </w:r>
            <w:r>
              <w:rPr>
                <w:rFonts w:ascii="宋体" w:hAnsi="宋体" w:eastAsia="宋体" w:cs="Times New Roman"/>
                <w:color w:val="000000"/>
                <w:kern w:val="0"/>
                <w:sz w:val="24"/>
                <w:szCs w:val="24"/>
                <w:lang w:bidi="ar"/>
              </w:rPr>
              <w:t>4OH</w:t>
            </w:r>
            <w:r>
              <w:rPr>
                <w:rFonts w:ascii="宋体" w:hAnsi="宋体" w:eastAsia="宋体" w:cs="Times New Roman"/>
                <w:color w:val="000000"/>
                <w:kern w:val="0"/>
                <w:sz w:val="24"/>
                <w:szCs w:val="24"/>
                <w:vertAlign w:val="superscript"/>
                <w:lang w:bidi="ar"/>
              </w:rPr>
              <w:t>-</w:t>
            </w:r>
            <w:r>
              <w:rPr>
                <w:rFonts w:hint="eastAsia" w:ascii="宋体" w:hAnsi="宋体" w:eastAsia="宋体" w:cs="宋体"/>
                <w:color w:val="000000"/>
                <w:kern w:val="0"/>
                <w:sz w:val="24"/>
                <w:szCs w:val="24"/>
                <w:lang w:bidi="ar"/>
              </w:rPr>
              <w:t>–</w:t>
            </w:r>
            <w:r>
              <w:rPr>
                <w:rFonts w:ascii="宋体" w:hAnsi="宋体" w:eastAsia="宋体" w:cs="Times New Roman"/>
                <w:color w:val="000000"/>
                <w:kern w:val="0"/>
                <w:sz w:val="24"/>
                <w:szCs w:val="24"/>
                <w:lang w:bidi="ar"/>
              </w:rPr>
              <w:t xml:space="preserve">4e </w:t>
            </w:r>
            <w:r>
              <w:rPr>
                <w:rFonts w:hint="eastAsia" w:ascii="宋体" w:hAnsi="宋体" w:eastAsia="宋体" w:cs="宋体"/>
                <w:color w:val="000000"/>
                <w:kern w:val="0"/>
                <w:sz w:val="24"/>
                <w:szCs w:val="24"/>
                <w:lang w:bidi="ar"/>
              </w:rPr>
              <w:t xml:space="preserve">→ </w:t>
            </w:r>
            <w:r>
              <w:rPr>
                <w:rFonts w:ascii="宋体" w:hAnsi="宋体" w:eastAsia="宋体" w:cs="Times New Roman"/>
                <w:color w:val="000000"/>
                <w:kern w:val="0"/>
                <w:sz w:val="24"/>
                <w:szCs w:val="24"/>
                <w:lang w:bidi="ar"/>
              </w:rPr>
              <w:t>2H</w:t>
            </w:r>
            <w:r>
              <w:rPr>
                <w:rFonts w:ascii="宋体" w:hAnsi="宋体" w:eastAsia="宋体" w:cs="Times New Roman"/>
                <w:color w:val="000000"/>
                <w:kern w:val="0"/>
                <w:sz w:val="24"/>
                <w:szCs w:val="24"/>
                <w:vertAlign w:val="subscript"/>
                <w:lang w:bidi="ar"/>
              </w:rPr>
              <w:t>2</w:t>
            </w:r>
            <w:r>
              <w:rPr>
                <w:rFonts w:ascii="宋体" w:hAnsi="宋体" w:eastAsia="宋体" w:cs="Times New Roman"/>
                <w:color w:val="000000"/>
                <w:kern w:val="0"/>
                <w:sz w:val="24"/>
                <w:szCs w:val="24"/>
                <w:lang w:bidi="ar"/>
              </w:rPr>
              <w:t>O + O</w:t>
            </w:r>
            <w:r>
              <w:rPr>
                <w:rFonts w:ascii="宋体" w:hAnsi="宋体" w:eastAsia="宋体" w:cs="Times New Roman"/>
                <w:color w:val="000000"/>
                <w:kern w:val="0"/>
                <w:sz w:val="24"/>
                <w:szCs w:val="24"/>
                <w:vertAlign w:val="subscript"/>
                <w:lang w:bidi="ar"/>
              </w:rPr>
              <w:t>2</w:t>
            </w:r>
            <w:r>
              <w:rPr>
                <w:rFonts w:hint="eastAsia" w:ascii="宋体" w:hAnsi="宋体" w:eastAsia="宋体" w:cs="宋体"/>
                <w:color w:val="000000"/>
                <w:kern w:val="0"/>
                <w:sz w:val="24"/>
                <w:szCs w:val="24"/>
                <w:lang w:bidi="ar"/>
              </w:rPr>
              <w:t>↑</w:t>
            </w:r>
          </w:p>
          <w:p>
            <w:pPr>
              <w:keepNext w:val="0"/>
              <w:keepLines w:val="0"/>
              <w:pageBreakBefore w:val="0"/>
              <w:widowControl w:val="0"/>
              <w:kinsoku/>
              <w:wordWrap/>
              <w:overflowPunct/>
              <w:topLinePunct w:val="0"/>
              <w:autoSpaceDN/>
              <w:bidi w:val="0"/>
              <w:adjustRightInd/>
              <w:spacing w:line="360" w:lineRule="exact"/>
              <w:ind w:firstLine="480" w:firstLineChars="200"/>
              <w:jc w:val="both"/>
              <w:textAlignment w:val="auto"/>
              <w:rPr>
                <w:rFonts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总反应：</w:t>
            </w:r>
            <w:r>
              <w:rPr>
                <w:rFonts w:ascii="宋体" w:hAnsi="宋体" w:eastAsia="宋体" w:cs="Times New Roman"/>
                <w:color w:val="000000"/>
                <w:kern w:val="0"/>
                <w:sz w:val="24"/>
                <w:szCs w:val="24"/>
                <w:lang w:val="en-US" w:eastAsia="zh-CN" w:bidi="ar"/>
              </w:rPr>
              <w:t>2H</w:t>
            </w:r>
            <w:r>
              <w:rPr>
                <w:rFonts w:ascii="宋体" w:hAnsi="宋体" w:eastAsia="宋体" w:cs="Times New Roman"/>
                <w:color w:val="000000"/>
                <w:kern w:val="0"/>
                <w:sz w:val="24"/>
                <w:szCs w:val="24"/>
                <w:vertAlign w:val="subscript"/>
                <w:lang w:val="en-US" w:eastAsia="zh-CN" w:bidi="ar"/>
              </w:rPr>
              <w:t>2</w:t>
            </w:r>
            <w:r>
              <w:rPr>
                <w:rFonts w:ascii="宋体" w:hAnsi="宋体" w:eastAsia="宋体" w:cs="Times New Roman"/>
                <w:color w:val="000000"/>
                <w:kern w:val="0"/>
                <w:sz w:val="24"/>
                <w:szCs w:val="24"/>
                <w:lang w:val="en-US" w:eastAsia="zh-CN" w:bidi="ar"/>
              </w:rPr>
              <w:t xml:space="preserve">O </w:t>
            </w:r>
            <w:r>
              <w:rPr>
                <w:rFonts w:hint="eastAsia" w:ascii="宋体" w:hAnsi="宋体" w:eastAsia="宋体" w:cs="宋体"/>
                <w:color w:val="000000"/>
                <w:kern w:val="0"/>
                <w:sz w:val="24"/>
                <w:szCs w:val="24"/>
                <w:lang w:val="en-US" w:eastAsia="zh-CN" w:bidi="ar"/>
              </w:rPr>
              <w:t xml:space="preserve">→ </w:t>
            </w:r>
            <w:r>
              <w:rPr>
                <w:rFonts w:ascii="宋体" w:hAnsi="宋体" w:eastAsia="宋体" w:cs="Times New Roman"/>
                <w:color w:val="000000"/>
                <w:kern w:val="0"/>
                <w:sz w:val="24"/>
                <w:szCs w:val="24"/>
                <w:lang w:val="en-US" w:eastAsia="zh-CN" w:bidi="ar"/>
              </w:rPr>
              <w:t>2H</w:t>
            </w:r>
            <w:r>
              <w:rPr>
                <w:rFonts w:ascii="宋体" w:hAnsi="宋体" w:eastAsia="宋体" w:cs="Times New Roman"/>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w:t>
            </w:r>
            <w:r>
              <w:rPr>
                <w:rFonts w:ascii="宋体" w:hAnsi="宋体" w:eastAsia="宋体" w:cs="Times New Roman"/>
                <w:color w:val="000000"/>
                <w:kern w:val="0"/>
                <w:sz w:val="24"/>
                <w:szCs w:val="24"/>
                <w:lang w:val="en-US" w:eastAsia="zh-CN" w:bidi="ar"/>
              </w:rPr>
              <w:t>+ O</w:t>
            </w:r>
            <w:r>
              <w:rPr>
                <w:rFonts w:ascii="宋体" w:hAnsi="宋体" w:eastAsia="宋体" w:cs="Times New Roman"/>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N/>
              <w:bidi w:val="0"/>
              <w:adjustRightInd/>
              <w:spacing w:line="360" w:lineRule="exact"/>
              <w:ind w:firstLine="480" w:firstLineChars="200"/>
              <w:jc w:val="both"/>
              <w:textAlignment w:val="auto"/>
              <w:rPr>
                <w:rFonts w:ascii="宋体" w:hAnsi="宋体" w:eastAsia="宋体" w:cs="宋体"/>
                <w:kern w:val="2"/>
                <w:sz w:val="24"/>
                <w:szCs w:val="24"/>
                <w:lang w:val="en-US" w:eastAsia="zh-CN" w:bidi="ar"/>
              </w:rPr>
            </w:pPr>
            <w:r>
              <w:rPr>
                <w:rFonts w:hint="eastAsia" w:ascii="宋体" w:hAnsi="宋体" w:eastAsia="宋体" w:cs="宋体"/>
                <w:color w:val="000000"/>
                <w:kern w:val="0"/>
                <w:sz w:val="24"/>
                <w:szCs w:val="24"/>
                <w:lang w:val="en-US" w:eastAsia="zh-CN" w:bidi="ar"/>
              </w:rPr>
              <w:t>制氢气工艺采用水电解制氢，通过阴阳离子交换树脂把自来水转化成去离子水，然后用去离子水与化学品纯氢氧化钾配成</w:t>
            </w:r>
            <w:r>
              <w:rPr>
                <w:rFonts w:ascii="宋体" w:hAnsi="宋体"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％的氢氧化钾水溶液，用耐酸碱泵将配制好的氢氧化钾溶液（30%）输入电解槽中进行电解，电解后产生的氢气和氧气进入气液分离器，氧气通过控制阀后放</w:t>
            </w:r>
            <w:r>
              <w:rPr>
                <w:rFonts w:hint="eastAsia" w:ascii="宋体" w:hAnsi="宋体" w:eastAsia="宋体" w:cs="宋体"/>
                <w:kern w:val="2"/>
                <w:sz w:val="24"/>
                <w:szCs w:val="24"/>
                <w:lang w:val="en-US" w:eastAsia="zh-CN" w:bidi="ar"/>
              </w:rPr>
              <w:t>空，分析合格后的氢气通过控制阀输入储气储罐。工艺流程如下图：</w:t>
            </w:r>
          </w:p>
          <w:p>
            <w:pPr>
              <w:widowControl w:val="0"/>
              <w:spacing w:line="360" w:lineRule="auto"/>
              <w:ind w:firstLine="480" w:firstLineChars="200"/>
              <w:jc w:val="center"/>
              <w:rPr>
                <w:rFonts w:ascii="宋体" w:hAnsi="宋体" w:eastAsia="宋体" w:cs="宋体"/>
                <w:kern w:val="2"/>
                <w:sz w:val="24"/>
                <w:szCs w:val="24"/>
                <w:lang w:val="en-US" w:eastAsia="zh-CN" w:bidi="ar"/>
              </w:rPr>
            </w:pPr>
            <w:r>
              <w:rPr>
                <w:rFonts w:ascii="宋体" w:hAnsi="宋体" w:eastAsia="宋体" w:cs="Times New Roman"/>
                <w:kern w:val="2"/>
                <w:sz w:val="24"/>
                <w:szCs w:val="24"/>
                <w:lang w:val="en-US" w:eastAsia="zh-CN" w:bidi="ar"/>
              </w:rPr>
              <w:drawing>
                <wp:inline distT="0" distB="0" distL="0" distR="0">
                  <wp:extent cx="2444750" cy="2216150"/>
                  <wp:effectExtent l="0" t="0" r="12700" b="1270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44750" cy="2216150"/>
                          </a:xfrm>
                          <a:prstGeom prst="rect">
                            <a:avLst/>
                          </a:prstGeom>
                          <a:noFill/>
                          <a:ln>
                            <a:noFill/>
                          </a:ln>
                        </pic:spPr>
                      </pic:pic>
                    </a:graphicData>
                  </a:graphic>
                </wp:inline>
              </w:drawing>
            </w:r>
          </w:p>
          <w:p>
            <w:pPr>
              <w:widowControl w:val="0"/>
              <w:spacing w:line="360" w:lineRule="auto"/>
              <w:ind w:firstLine="480" w:firstLineChars="200"/>
              <w:jc w:val="center"/>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
              </w:rPr>
              <w:t>图2.5-1  水电解制氢的生产工艺流程图</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Times New Roman"/>
                <w:sz w:val="24"/>
                <w:szCs w:val="24"/>
              </w:rPr>
            </w:pPr>
            <w:r>
              <w:rPr>
                <w:rFonts w:hint="eastAsia" w:ascii="宋体" w:hAnsi="宋体" w:eastAsia="宋体" w:cs="宋体"/>
                <w:sz w:val="24"/>
                <w:szCs w:val="24"/>
                <w:lang w:bidi="ar"/>
              </w:rPr>
              <w:t>制氢系统主要设备由电解槽、气液处理器、加水泵、水碱箱、制氢控制柜、整流柜、</w:t>
            </w:r>
            <w:r>
              <w:rPr>
                <w:rFonts w:ascii="宋体" w:hAnsi="宋体" w:eastAsia="宋体" w:cs="Times New Roman"/>
                <w:sz w:val="24"/>
                <w:szCs w:val="24"/>
                <w:lang w:bidi="ar"/>
              </w:rPr>
              <w:t xml:space="preserve"> </w:t>
            </w:r>
            <w:r>
              <w:rPr>
                <w:rFonts w:hint="eastAsia" w:ascii="宋体" w:hAnsi="宋体" w:eastAsia="宋体" w:cs="宋体"/>
                <w:sz w:val="24"/>
                <w:szCs w:val="24"/>
                <w:lang w:bidi="ar"/>
              </w:rPr>
              <w:t>整流变压器等组成。</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r>
              <w:rPr>
                <w:rFonts w:hint="eastAsia" w:ascii="宋体" w:hAnsi="宋体" w:eastAsia="宋体" w:cs="宋体"/>
                <w:sz w:val="24"/>
                <w:szCs w:val="24"/>
                <w:lang w:bidi="ar"/>
              </w:rPr>
              <w:t>（</w:t>
            </w:r>
            <w:r>
              <w:rPr>
                <w:rFonts w:ascii="宋体" w:hAnsi="宋体" w:eastAsia="宋体" w:cs="宋体"/>
                <w:sz w:val="24"/>
                <w:szCs w:val="24"/>
                <w:lang w:bidi="ar"/>
              </w:rPr>
              <w:t>1</w:t>
            </w:r>
            <w:r>
              <w:rPr>
                <w:rFonts w:hint="eastAsia" w:ascii="宋体" w:hAnsi="宋体" w:eastAsia="宋体" w:cs="宋体"/>
                <w:sz w:val="24"/>
                <w:szCs w:val="24"/>
                <w:lang w:bidi="ar"/>
              </w:rPr>
              <w:t>）电解槽</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r>
              <w:rPr>
                <w:rFonts w:hint="eastAsia" w:ascii="宋体" w:hAnsi="宋体" w:eastAsia="宋体" w:cs="宋体"/>
                <w:sz w:val="24"/>
                <w:szCs w:val="24"/>
                <w:lang w:bidi="ar"/>
              </w:rPr>
              <w:t>电解槽为压滤式双极性串联结构，是制氢系统的核心，水在电解槽被电解成氢气和氧气。极框下部有进液管，上部有氢、氧气液出口管；电解液在电解槽内直流电的作用下分解，在电极表面析出氢气与氧气，经各自通道分别进入气液系统，电解槽温度由氧和氢两侧分别监控。</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bookmarkStart w:id="3" w:name="_Toc57862655"/>
            <w:bookmarkEnd w:id="3"/>
            <w:bookmarkStart w:id="4" w:name="_Toc58463416"/>
            <w:bookmarkEnd w:id="4"/>
            <w:bookmarkStart w:id="5" w:name="_Toc63217497"/>
            <w:bookmarkEnd w:id="5"/>
            <w:bookmarkStart w:id="6" w:name="_Toc58811146"/>
            <w:bookmarkEnd w:id="6"/>
            <w:bookmarkStart w:id="7" w:name="_Toc57928117"/>
            <w:bookmarkEnd w:id="7"/>
            <w:bookmarkStart w:id="8" w:name="_Toc57863860"/>
            <w:bookmarkEnd w:id="8"/>
            <w:bookmarkStart w:id="9" w:name="_Toc58727901"/>
            <w:bookmarkEnd w:id="9"/>
            <w:bookmarkStart w:id="10" w:name="_Toc63217856"/>
            <w:bookmarkEnd w:id="10"/>
            <w:bookmarkStart w:id="11" w:name="_Toc57952589"/>
            <w:bookmarkEnd w:id="11"/>
            <w:bookmarkStart w:id="12" w:name="_Toc58728840"/>
            <w:bookmarkEnd w:id="12"/>
            <w:bookmarkStart w:id="13" w:name="_Toc57732392"/>
            <w:bookmarkEnd w:id="13"/>
            <w:bookmarkStart w:id="14" w:name="_Toc61527730"/>
            <w:bookmarkEnd w:id="14"/>
            <w:bookmarkStart w:id="15" w:name="_Toc57926793"/>
            <w:bookmarkEnd w:id="15"/>
            <w:bookmarkStart w:id="16" w:name="_Toc63217727"/>
            <w:bookmarkEnd w:id="16"/>
            <w:bookmarkStart w:id="17" w:name="_Toc57928281"/>
            <w:bookmarkEnd w:id="17"/>
            <w:bookmarkStart w:id="18" w:name="_Toc58728340"/>
            <w:bookmarkEnd w:id="18"/>
            <w:bookmarkStart w:id="19" w:name="_Toc57862883"/>
            <w:bookmarkEnd w:id="19"/>
            <w:bookmarkStart w:id="20" w:name="_Toc58751679"/>
            <w:bookmarkEnd w:id="20"/>
            <w:bookmarkStart w:id="21" w:name="_Toc57922523"/>
            <w:bookmarkEnd w:id="21"/>
            <w:bookmarkStart w:id="22" w:name="_Toc57929048"/>
            <w:r>
              <w:rPr>
                <w:rFonts w:hint="eastAsia" w:ascii="宋体" w:hAnsi="宋体" w:eastAsia="宋体" w:cs="宋体"/>
                <w:sz w:val="24"/>
                <w:szCs w:val="24"/>
                <w:lang w:bidi="ar"/>
              </w:rPr>
              <w:t>（</w:t>
            </w:r>
            <w:bookmarkEnd w:id="22"/>
            <w:r>
              <w:rPr>
                <w:rFonts w:ascii="宋体" w:hAnsi="宋体" w:eastAsia="宋体" w:cs="宋体"/>
                <w:sz w:val="24"/>
                <w:szCs w:val="24"/>
                <w:lang w:bidi="ar"/>
              </w:rPr>
              <w:t>2</w:t>
            </w:r>
            <w:r>
              <w:rPr>
                <w:rFonts w:hint="eastAsia" w:ascii="宋体" w:hAnsi="宋体" w:eastAsia="宋体" w:cs="宋体"/>
                <w:sz w:val="24"/>
                <w:szCs w:val="24"/>
                <w:lang w:bidi="ar"/>
              </w:rPr>
              <w:t>）氢、氧气体系统</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r>
              <w:rPr>
                <w:rFonts w:hint="eastAsia" w:ascii="宋体" w:hAnsi="宋体" w:eastAsia="宋体" w:cs="宋体"/>
                <w:sz w:val="24"/>
                <w:szCs w:val="24"/>
                <w:lang w:bidi="ar"/>
              </w:rPr>
              <w:t>从电解槽出来的氢气和碱液混合物一起通过极框上阴极侧的出气孔流过氢气管道，从中间极框流出，汇集后导入氢气液分离器，经内部安装的碱液换热器进行热交换冷却，在重力作用下进行气液分离，分离出的氢气导入氢气气液分离器上部的氢气洗涤冷却器进一步洗涤冷却，从而最大限度减少气体中的含碱量和含水量，经洗涤器、气水分离器进行气水分离后，最终经氢气薄膜调节阀排出，进入储罐备用或放空。阳极侧的出气孔流过氧气道，排空处理。</w:t>
            </w:r>
            <w:bookmarkStart w:id="23" w:name="_Toc57928282"/>
            <w:bookmarkEnd w:id="23"/>
            <w:bookmarkStart w:id="24" w:name="_Toc58463417"/>
            <w:bookmarkEnd w:id="24"/>
            <w:bookmarkStart w:id="25" w:name="_Toc57952590"/>
            <w:bookmarkEnd w:id="25"/>
            <w:bookmarkStart w:id="26" w:name="_Toc57922524"/>
            <w:bookmarkEnd w:id="26"/>
            <w:bookmarkStart w:id="27" w:name="_Toc58811147"/>
            <w:bookmarkEnd w:id="27"/>
            <w:bookmarkStart w:id="28" w:name="_Toc63217728"/>
            <w:bookmarkEnd w:id="28"/>
            <w:bookmarkStart w:id="29" w:name="_Toc58751680"/>
            <w:bookmarkEnd w:id="29"/>
            <w:bookmarkStart w:id="30" w:name="_Toc57926794"/>
            <w:bookmarkEnd w:id="30"/>
            <w:bookmarkStart w:id="31" w:name="_Toc58728841"/>
            <w:bookmarkEnd w:id="31"/>
            <w:bookmarkStart w:id="32" w:name="_Toc57732393"/>
            <w:bookmarkEnd w:id="32"/>
            <w:bookmarkStart w:id="33" w:name="_Toc63217857"/>
            <w:bookmarkEnd w:id="33"/>
            <w:bookmarkStart w:id="34" w:name="_Toc57862884"/>
            <w:bookmarkEnd w:id="34"/>
            <w:bookmarkStart w:id="35" w:name="_Toc57928118"/>
            <w:bookmarkEnd w:id="35"/>
            <w:bookmarkStart w:id="36" w:name="_Toc57929049"/>
            <w:bookmarkEnd w:id="36"/>
            <w:bookmarkStart w:id="37" w:name="_Toc57862656"/>
            <w:bookmarkEnd w:id="37"/>
            <w:bookmarkStart w:id="38" w:name="_Toc58727902"/>
            <w:bookmarkEnd w:id="38"/>
            <w:bookmarkStart w:id="39" w:name="_Toc57863861"/>
            <w:bookmarkEnd w:id="39"/>
            <w:bookmarkStart w:id="40" w:name="_Toc58728341"/>
            <w:bookmarkEnd w:id="40"/>
            <w:bookmarkStart w:id="41" w:name="_Toc61527731"/>
            <w:bookmarkEnd w:id="41"/>
            <w:bookmarkStart w:id="42" w:name="_Toc63217498"/>
            <w:r>
              <w:rPr>
                <w:rFonts w:ascii="宋体" w:hAnsi="宋体" w:eastAsia="宋体" w:cs="宋体"/>
                <w:sz w:val="24"/>
                <w:szCs w:val="24"/>
                <w:lang w:bidi="ar"/>
              </w:rPr>
              <w:br w:type="page"/>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r>
              <w:rPr>
                <w:rFonts w:hint="eastAsia" w:ascii="宋体" w:hAnsi="宋体" w:eastAsia="宋体" w:cs="宋体"/>
                <w:sz w:val="24"/>
                <w:szCs w:val="24"/>
                <w:lang w:bidi="ar"/>
              </w:rPr>
              <w:t>（</w:t>
            </w:r>
            <w:bookmarkEnd w:id="42"/>
            <w:r>
              <w:rPr>
                <w:rFonts w:ascii="宋体" w:hAnsi="宋体" w:eastAsia="宋体" w:cs="宋体"/>
                <w:sz w:val="24"/>
                <w:szCs w:val="24"/>
                <w:lang w:bidi="ar"/>
              </w:rPr>
              <w:t>3</w:t>
            </w:r>
            <w:r>
              <w:rPr>
                <w:rFonts w:hint="eastAsia" w:ascii="宋体" w:hAnsi="宋体" w:eastAsia="宋体" w:cs="宋体"/>
                <w:sz w:val="24"/>
                <w:szCs w:val="24"/>
                <w:lang w:bidi="ar"/>
              </w:rPr>
              <w:t>）气液处理出氢送纯化，经过干燥塔、冷却器吸附干燥。</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r>
              <w:rPr>
                <w:rFonts w:hint="eastAsia" w:ascii="宋体" w:hAnsi="宋体" w:eastAsia="宋体" w:cs="宋体"/>
                <w:sz w:val="24"/>
                <w:szCs w:val="24"/>
                <w:lang w:bidi="ar"/>
              </w:rPr>
              <w:t>（4）电解液循环系统</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r>
              <w:rPr>
                <w:rFonts w:hint="eastAsia" w:ascii="宋体" w:hAnsi="宋体" w:eastAsia="宋体" w:cs="宋体"/>
                <w:sz w:val="24"/>
                <w:szCs w:val="24"/>
                <w:lang w:bidi="ar"/>
              </w:rPr>
              <w:t>氢、氧分离器中的电解液经连通管汇集，经碱液过滤器除去机械杂质后，由循环泵经流量开关通入电解槽，形成闭环系统，保证连续运行。</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rPr>
                <w:rFonts w:ascii="宋体" w:hAnsi="宋体" w:eastAsia="宋体" w:cs="宋体"/>
                <w:sz w:val="24"/>
                <w:szCs w:val="24"/>
                <w:lang w:bidi="ar"/>
              </w:rPr>
            </w:pPr>
            <w:bookmarkStart w:id="43" w:name="_Toc57928119"/>
            <w:bookmarkEnd w:id="43"/>
            <w:bookmarkStart w:id="44" w:name="_Toc57922525"/>
            <w:bookmarkEnd w:id="44"/>
            <w:bookmarkStart w:id="45" w:name="_Toc61527732"/>
            <w:bookmarkEnd w:id="45"/>
            <w:bookmarkStart w:id="46" w:name="_Toc57926795"/>
            <w:bookmarkEnd w:id="46"/>
            <w:bookmarkStart w:id="47" w:name="_Toc58728342"/>
            <w:bookmarkEnd w:id="47"/>
            <w:bookmarkStart w:id="48" w:name="_Toc57928283"/>
            <w:bookmarkEnd w:id="48"/>
            <w:bookmarkStart w:id="49" w:name="_Toc57862657"/>
            <w:bookmarkEnd w:id="49"/>
            <w:bookmarkStart w:id="50" w:name="_Toc63217858"/>
            <w:bookmarkEnd w:id="50"/>
            <w:bookmarkStart w:id="51" w:name="_Toc57929050"/>
            <w:bookmarkEnd w:id="51"/>
            <w:bookmarkStart w:id="52" w:name="_Toc58728842"/>
            <w:bookmarkEnd w:id="52"/>
            <w:bookmarkStart w:id="53" w:name="_Toc58463418"/>
            <w:bookmarkEnd w:id="53"/>
            <w:bookmarkStart w:id="54" w:name="_Toc63217499"/>
            <w:bookmarkEnd w:id="54"/>
            <w:bookmarkStart w:id="55" w:name="_Toc63217729"/>
            <w:bookmarkEnd w:id="55"/>
            <w:bookmarkStart w:id="56" w:name="_Toc57732394"/>
            <w:bookmarkEnd w:id="56"/>
            <w:bookmarkStart w:id="57" w:name="_Toc58751681"/>
            <w:bookmarkEnd w:id="57"/>
            <w:bookmarkStart w:id="58" w:name="_Toc57863862"/>
            <w:bookmarkEnd w:id="58"/>
            <w:bookmarkStart w:id="59" w:name="_Toc58727903"/>
            <w:bookmarkEnd w:id="59"/>
            <w:bookmarkStart w:id="60" w:name="_Toc58811148"/>
            <w:bookmarkEnd w:id="60"/>
            <w:bookmarkStart w:id="61" w:name="_Toc57862885"/>
            <w:bookmarkEnd w:id="61"/>
            <w:bookmarkStart w:id="62" w:name="_Toc57952591"/>
            <w:r>
              <w:rPr>
                <w:rFonts w:hint="eastAsia" w:ascii="宋体" w:hAnsi="宋体" w:eastAsia="宋体" w:cs="宋体"/>
                <w:sz w:val="24"/>
                <w:szCs w:val="24"/>
                <w:lang w:bidi="ar"/>
              </w:rPr>
              <w:t>（</w:t>
            </w:r>
            <w:bookmarkEnd w:id="62"/>
            <w:r>
              <w:rPr>
                <w:rFonts w:hint="eastAsia" w:ascii="宋体" w:hAnsi="宋体" w:eastAsia="宋体" w:cs="宋体"/>
                <w:sz w:val="24"/>
                <w:szCs w:val="24"/>
                <w:lang w:bidi="ar"/>
              </w:rPr>
              <w:t>5）加水（碱）系统</w:t>
            </w:r>
          </w:p>
          <w:p>
            <w:pPr>
              <w:keepNext w:val="0"/>
              <w:keepLines w:val="0"/>
              <w:pageBreakBefore w:val="0"/>
              <w:kinsoku/>
              <w:wordWrap/>
              <w:overflowPunct/>
              <w:topLinePunct w:val="0"/>
              <w:autoSpaceDE w:val="0"/>
              <w:autoSpaceDN/>
              <w:bidi w:val="0"/>
              <w:adjustRightInd/>
              <w:snapToGrid/>
              <w:spacing w:line="400" w:lineRule="exact"/>
              <w:ind w:firstLine="480" w:firstLineChars="200"/>
              <w:textAlignment w:val="auto"/>
            </w:pPr>
            <w:r>
              <w:rPr>
                <w:rFonts w:hint="eastAsia" w:ascii="宋体" w:hAnsi="宋体" w:eastAsia="宋体" w:cs="宋体"/>
                <w:sz w:val="24"/>
                <w:szCs w:val="24"/>
                <w:lang w:bidi="ar"/>
              </w:rPr>
              <w:t>去离子水分别进入水碱箱。水箱中的去离子水经过加水泵注入氢（氧）分离器上部的氢（氧）洗涤器部分。送水管路上设有止回阀以防止去离子水回流。若系统需要补碱，则由经加水泵将配置好的电解液注入碱液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5"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7974"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rPr>
          <w:rFonts w:hint="eastAsia" w:eastAsia="宋体"/>
          <w:lang w:eastAsia="zh-CN"/>
        </w:rPr>
      </w:pPr>
      <w:r>
        <w:rPr>
          <w:rFonts w:hint="eastAsia" w:eastAsia="宋体"/>
          <w:lang w:eastAsia="zh-CN"/>
        </w:rPr>
        <w:br w:type="page"/>
      </w:r>
      <w:bookmarkStart w:id="63" w:name="_GoBack"/>
      <w:bookmarkEnd w:id="63"/>
    </w:p>
    <w:p>
      <w:pPr>
        <w:rPr>
          <w:rFonts w:hint="eastAsia" w:eastAsia="宋体"/>
          <w:lang w:eastAsia="zh-CN"/>
        </w:rPr>
      </w:pPr>
      <w:r>
        <w:rPr>
          <w:rFonts w:hint="eastAsia" w:eastAsia="宋体"/>
          <w:lang w:eastAsia="zh-CN"/>
        </w:rPr>
        <w:drawing>
          <wp:inline distT="0" distB="0" distL="114300" distR="114300">
            <wp:extent cx="5268595" cy="3950335"/>
            <wp:effectExtent l="0" t="0" r="8255" b="12065"/>
            <wp:docPr id="10" name="图片 10" descr="7、现场勘察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现场勘察照片1"/>
                    <pic:cNvPicPr>
                      <a:picLocks noChangeAspect="1"/>
                    </pic:cNvPicPr>
                  </pic:nvPicPr>
                  <pic:blipFill>
                    <a:blip r:embed="rId21"/>
                    <a:stretch>
                      <a:fillRect/>
                    </a:stretch>
                  </pic:blipFill>
                  <pic:spPr>
                    <a:xfrm>
                      <a:off x="0" y="0"/>
                      <a:ext cx="5268595" cy="3950335"/>
                    </a:xfrm>
                    <a:prstGeom prst="rect">
                      <a:avLst/>
                    </a:prstGeom>
                  </pic:spPr>
                </pic:pic>
              </a:graphicData>
            </a:graphic>
          </wp:inline>
        </w:drawing>
      </w:r>
      <w:r>
        <w:rPr>
          <w:rFonts w:hint="eastAsia" w:eastAsia="宋体"/>
          <w:lang w:eastAsia="zh-CN"/>
        </w:rPr>
        <w:drawing>
          <wp:inline distT="0" distB="0" distL="114300" distR="114300">
            <wp:extent cx="5268595" cy="3950335"/>
            <wp:effectExtent l="0" t="0" r="8255" b="12065"/>
            <wp:docPr id="8" name="图片 8" descr="现场勘察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现场勘察照片2"/>
                    <pic:cNvPicPr>
                      <a:picLocks noChangeAspect="1"/>
                    </pic:cNvPicPr>
                  </pic:nvPicPr>
                  <pic:blipFill>
                    <a:blip r:embed="rId22"/>
                    <a:stretch>
                      <a:fillRect/>
                    </a:stretch>
                  </pic:blipFill>
                  <pic:spPr>
                    <a:xfrm>
                      <a:off x="0" y="0"/>
                      <a:ext cx="5268595"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00000287" w:usb1="00000000" w:usb2="00000000" w:usb3="00000000" w:csb0="4000009F" w:csb1="DFD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7D2E2AD7"/>
    <w:rsid w:val="0CAC50A6"/>
    <w:rsid w:val="29F96870"/>
    <w:rsid w:val="4BBC45D3"/>
    <w:rsid w:val="4F6F15E1"/>
    <w:rsid w:val="544D3B0B"/>
    <w:rsid w:val="7D2E2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Indent"/>
    <w:basedOn w:val="1"/>
    <w:next w:val="3"/>
    <w:unhideWhenUsed/>
    <w:qFormat/>
    <w:uiPriority w:val="99"/>
    <w:pPr>
      <w:spacing w:after="120"/>
      <w:ind w:left="420" w:leftChars="200"/>
    </w:pPr>
  </w:style>
  <w:style w:type="paragraph" w:styleId="3">
    <w:name w:val="Body Text"/>
    <w:basedOn w:val="1"/>
    <w:next w:val="1"/>
    <w:qFormat/>
    <w:uiPriority w:val="99"/>
    <w:rPr>
      <w:sz w:val="28"/>
      <w:szCs w:val="28"/>
    </w:r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Plain Text"/>
    <w:basedOn w:val="1"/>
    <w:qFormat/>
    <w:uiPriority w:val="0"/>
    <w:rPr>
      <w:rFonts w:ascii="宋体" w:hAnsi="Courier New" w:cs="Courier New"/>
      <w:szCs w:val="21"/>
    </w:rPr>
  </w:style>
  <w:style w:type="paragraph" w:styleId="6">
    <w:name w:val="Body Text First Indent 2"/>
    <w:basedOn w:val="3"/>
    <w:next w:val="1"/>
    <w:semiHidden/>
    <w:qFormat/>
    <w:uiPriority w:val="99"/>
    <w:pPr>
      <w:spacing w:after="156" w:afterLines="50" w:line="240" w:lineRule="auto"/>
      <w:ind w:left="200" w:leftChars="0" w:firstLine="420" w:firstLineChars="0"/>
    </w:pPr>
    <w:rPr>
      <w:rFonts w:ascii="华文中宋" w:hAnsi="华文中宋" w:eastAsia="华文中宋" w:cs="Times New Roman"/>
      <w:szCs w:val="24"/>
    </w:rPr>
  </w:style>
  <w:style w:type="paragraph" w:customStyle="1" w:styleId="9">
    <w:name w:val="Default"/>
    <w:basedOn w:val="10"/>
    <w:next w:val="6"/>
    <w:autoRedefine/>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0">
    <w:name w:val="纯文本1"/>
    <w:basedOn w:val="1"/>
    <w:autoRedefine/>
    <w:qFormat/>
    <w:uiPriority w:val="0"/>
    <w:rPr>
      <w:rFonts w:ascii="宋体" w:hAnsi="Courier New"/>
      <w:kern w:val="0"/>
      <w:sz w:val="21"/>
      <w:szCs w:val="20"/>
    </w:rPr>
  </w:style>
  <w:style w:type="paragraph" w:customStyle="1" w:styleId="11">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6695</Words>
  <Characters>7977</Characters>
  <Lines>0</Lines>
  <Paragraphs>0</Paragraphs>
  <TotalTime>4</TotalTime>
  <ScaleCrop>false</ScaleCrop>
  <LinksUpToDate>false</LinksUpToDate>
  <CharactersWithSpaces>8015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2024-07-09T03:21:00Z</dcterms:created>
  <dc:creator>半世浮沉</dc:creator>
  <cp:lastModifiedBy>小钱</cp:lastModifiedBy>
  <dcterms:modified xsi:type="dcterms:W3CDTF">2024-07-10T01:51:49Z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FF59E5B0C878474E8230DE6F0C875041_11</vt:lpwstr>
  </property>
</Properties>
</file>