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lang w:eastAsia="zh-CN"/>
              </w:rPr>
              <w:t>江西宇能制药股份有限公司年产10吨甲基泼尼松龙等生物制药产品及中间体的产业化项目（年产60吨甲基泼尼松龙格氏物）</w:t>
            </w:r>
            <w:r>
              <w:rPr>
                <w:rFonts w:hint="eastAsia" w:ascii="宋体" w:hAnsi="宋体" w:cs="宋体"/>
                <w:sz w:val="24"/>
                <w:lang w:val="en-US" w:eastAsia="zh-CN"/>
              </w:rPr>
              <w:t>安全条件评价报告</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ascii="宋体" w:hAnsi="宋体" w:cs="宋体"/>
                <w:sz w:val="24"/>
              </w:rPr>
              <w:t>5</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徐顺星</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S011041000110192002229</w:t>
            </w:r>
          </w:p>
        </w:tc>
        <w:tc>
          <w:tcPr>
            <w:tcW w:w="2115" w:type="dxa"/>
            <w:tcBorders>
              <w:tl2br w:val="nil"/>
              <w:tr2bl w:val="nil"/>
            </w:tcBorders>
            <w:shd w:val="clear" w:color="auto" w:fill="FFFFFF"/>
            <w:vAlign w:val="center"/>
          </w:tcPr>
          <w:p>
            <w:pPr>
              <w:widowControl/>
              <w:spacing w:line="360" w:lineRule="exact"/>
              <w:jc w:val="center"/>
              <w:rPr>
                <w:rFonts w:ascii="Times New Roman" w:hAnsi="Times New Roman"/>
                <w:sz w:val="24"/>
              </w:rPr>
            </w:pPr>
            <w:r>
              <w:rPr>
                <w:rFonts w:hint="eastAsia" w:ascii="Times New Roman" w:hAnsi="Times New Roman"/>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1200000000300398</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韦根远</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S011044000110191001083</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岳强</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0800000000102212</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陈武斌</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sz w:val="24"/>
              </w:rPr>
              <w:t>徐顺星、吴红玉2024.</w:t>
            </w:r>
            <w:r>
              <w:rPr>
                <w:rFonts w:hint="eastAsia"/>
                <w:sz w:val="24"/>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hint="eastAsia" w:ascii="Times New Roman" w:hAnsi="Times New Roman" w:eastAsia="宋体"/>
                <w:color w:val="FF0000"/>
                <w:sz w:val="24"/>
                <w:lang w:eastAsia="zh-CN"/>
              </w:rPr>
            </w:pPr>
            <w:r>
              <w:rPr>
                <w:rFonts w:hint="eastAsia"/>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480"/>
              <w:rPr>
                <w:rFonts w:hint="default" w:ascii="Times New Roman"/>
                <w:lang w:val="en-US" w:eastAsia="zh-CN"/>
              </w:rPr>
            </w:pPr>
            <w:r>
              <w:rPr>
                <w:rFonts w:hint="eastAsia" w:ascii="Times New Roman"/>
                <w:lang w:eastAsia="zh-CN"/>
              </w:rPr>
              <w:t>江西宇能制药股份有限公司</w:t>
            </w:r>
            <w:r>
              <w:rPr>
                <w:rFonts w:hint="eastAsia" w:ascii="Times New Roman"/>
              </w:rPr>
              <w:t>成立于</w:t>
            </w:r>
            <w:r>
              <w:rPr>
                <w:rFonts w:hint="eastAsia" w:ascii="Times New Roman"/>
                <w:lang w:eastAsia="zh-CN"/>
              </w:rPr>
              <w:t>2003年1月24日</w:t>
            </w:r>
            <w:r>
              <w:rPr>
                <w:rFonts w:hint="eastAsia" w:ascii="Times New Roman"/>
              </w:rPr>
              <w:t>，并取得《营业执照》，营业执照统一社会信用代码：</w:t>
            </w:r>
            <w:r>
              <w:rPr>
                <w:rFonts w:hint="eastAsia" w:ascii="Times New Roman"/>
                <w:lang w:eastAsia="zh-CN"/>
              </w:rPr>
              <w:t>913608057460814337，</w:t>
            </w:r>
            <w:r>
              <w:rPr>
                <w:color w:val="auto"/>
                <w:highlight w:val="none"/>
              </w:rPr>
              <w:t>法定代表人：</w:t>
            </w:r>
            <w:r>
              <w:rPr>
                <w:rFonts w:hint="eastAsia"/>
                <w:color w:val="auto"/>
                <w:highlight w:val="none"/>
                <w:lang w:eastAsia="zh-CN"/>
              </w:rPr>
              <w:t>朱飞轮</w:t>
            </w:r>
            <w:r>
              <w:rPr>
                <w:color w:val="auto"/>
                <w:highlight w:val="none"/>
              </w:rPr>
              <w:t>，注册资本</w:t>
            </w:r>
            <w:r>
              <w:rPr>
                <w:rFonts w:hint="eastAsia"/>
                <w:color w:val="auto"/>
                <w:highlight w:val="none"/>
                <w:lang w:eastAsia="zh-CN"/>
              </w:rPr>
              <w:t>陆佰壹拾万元整</w:t>
            </w:r>
            <w:r>
              <w:rPr>
                <w:color w:val="auto"/>
                <w:highlight w:val="none"/>
              </w:rPr>
              <w:t>。企业性质为</w:t>
            </w:r>
            <w:r>
              <w:rPr>
                <w:rFonts w:hint="eastAsia"/>
                <w:color w:val="auto"/>
                <w:highlight w:val="none"/>
                <w:lang w:eastAsia="zh-CN"/>
              </w:rPr>
              <w:t>股份有限公司（非上市、自然人投资或控股）</w:t>
            </w:r>
            <w:r>
              <w:rPr>
                <w:color w:val="auto"/>
                <w:highlight w:val="none"/>
              </w:rPr>
              <w:t>。营业执照许可</w:t>
            </w:r>
            <w:r>
              <w:rPr>
                <w:rFonts w:hint="eastAsia"/>
                <w:color w:val="auto"/>
                <w:highlight w:val="none"/>
              </w:rPr>
              <w:t>经营范围：</w:t>
            </w:r>
            <w:r>
              <w:rPr>
                <w:rFonts w:hint="eastAsia" w:ascii="宋体" w:hAnsi="宋体" w:eastAsia="宋体" w:cs="宋体"/>
                <w:color w:val="auto"/>
                <w:spacing w:val="-6"/>
                <w:szCs w:val="28"/>
                <w:highlight w:val="none"/>
                <w:lang w:val="en-US"/>
              </w:rPr>
              <w:t>医药原料及中间体（内销凭生产许可证），甾体激素化学品，化工原料，营养保健食品添加剂，印染助剂，电子化学品，精细化工产品，进出口经营权（不含</w:t>
            </w:r>
            <w:r>
              <w:rPr>
                <w:rFonts w:hint="eastAsia" w:ascii="宋体" w:hAnsi="宋体" w:cs="宋体"/>
                <w:color w:val="auto"/>
                <w:spacing w:val="-6"/>
                <w:szCs w:val="28"/>
                <w:highlight w:val="none"/>
                <w:lang w:val="en-US" w:eastAsia="zh-CN"/>
              </w:rPr>
              <w:t>剧毒</w:t>
            </w:r>
            <w:r>
              <w:rPr>
                <w:rFonts w:hint="eastAsia" w:ascii="宋体" w:hAnsi="宋体" w:eastAsia="宋体" w:cs="宋体"/>
                <w:color w:val="auto"/>
                <w:spacing w:val="-6"/>
                <w:szCs w:val="28"/>
                <w:highlight w:val="none"/>
                <w:lang w:val="en-US"/>
              </w:rPr>
              <w:t>化学品和国家禁止生产的化学品）</w:t>
            </w:r>
            <w:r>
              <w:rPr>
                <w:rFonts w:hint="eastAsia" w:ascii="宋体" w:hAnsi="宋体" w:eastAsia="宋体" w:cs="宋体"/>
                <w:color w:val="auto"/>
                <w:spacing w:val="-6"/>
                <w:szCs w:val="28"/>
                <w:highlight w:val="none"/>
                <w:lang w:val="en-US" w:eastAsia="zh-CN"/>
              </w:rPr>
              <w:t>。项目</w:t>
            </w:r>
            <w:r>
              <w:rPr>
                <w:rFonts w:hint="eastAsia" w:ascii="Times New Roman"/>
                <w:lang w:val="en-US" w:eastAsia="zh-CN"/>
              </w:rPr>
              <w:t>位于</w:t>
            </w:r>
            <w:r>
              <w:rPr>
                <w:rFonts w:hint="eastAsia"/>
                <w:color w:val="auto"/>
                <w:highlight w:val="none"/>
              </w:rPr>
              <w:t>江西省吉安市</w:t>
            </w:r>
            <w:r>
              <w:rPr>
                <w:rFonts w:hint="eastAsia"/>
                <w:color w:val="auto"/>
                <w:highlight w:val="none"/>
                <w:lang w:eastAsia="zh-CN"/>
              </w:rPr>
              <w:t>井冈山经济技术开发区，</w:t>
            </w:r>
            <w:r>
              <w:rPr>
                <w:rFonts w:hint="eastAsia"/>
                <w:color w:val="auto"/>
                <w:highlight w:val="none"/>
                <w:lang w:val="en-US" w:eastAsia="zh-CN"/>
              </w:rPr>
              <w:t>该公司被列入</w:t>
            </w:r>
            <w:r>
              <w:rPr>
                <w:rFonts w:hint="eastAsia" w:ascii="宋体" w:hAnsi="宋体" w:cs="宋体"/>
                <w:color w:val="auto"/>
                <w:spacing w:val="-6"/>
                <w:szCs w:val="28"/>
                <w:highlight w:val="none"/>
                <w:lang w:val="en-US" w:eastAsia="zh-CN"/>
              </w:rPr>
              <w:t>第一批</w:t>
            </w:r>
            <w:r>
              <w:rPr>
                <w:rFonts w:hint="eastAsia" w:ascii="宋体" w:hAnsi="宋体" w:eastAsia="宋体" w:cs="宋体"/>
                <w:color w:val="auto"/>
                <w:spacing w:val="-6"/>
                <w:szCs w:val="28"/>
                <w:highlight w:val="none"/>
                <w:lang w:val="en-US" w:eastAsia="zh-CN"/>
              </w:rPr>
              <w:t>化工重点监测点</w:t>
            </w:r>
            <w:r>
              <w:rPr>
                <w:rFonts w:hint="eastAsia" w:ascii="宋体" w:hAnsi="宋体" w:cs="宋体"/>
                <w:color w:val="auto"/>
                <w:spacing w:val="-6"/>
                <w:szCs w:val="28"/>
                <w:highlight w:val="none"/>
                <w:lang w:val="en-US" w:eastAsia="zh-CN"/>
              </w:rPr>
              <w:t>名单，是</w:t>
            </w:r>
            <w:r>
              <w:rPr>
                <w:rFonts w:hint="eastAsia" w:ascii="宋体" w:hAnsi="宋体" w:eastAsia="宋体" w:cs="宋体"/>
                <w:color w:val="auto"/>
                <w:spacing w:val="-6"/>
                <w:szCs w:val="28"/>
                <w:highlight w:val="none"/>
                <w:lang w:val="en-US" w:eastAsia="zh-CN"/>
              </w:rPr>
              <w:t>化工重点监测点。</w:t>
            </w:r>
          </w:p>
          <w:p>
            <w:pPr>
              <w:ind w:firstLine="480"/>
              <w:rPr>
                <w:rFonts w:hint="eastAsia"/>
                <w:color w:val="auto"/>
                <w:highlight w:val="none"/>
                <w:lang w:val="en-US" w:eastAsia="zh-CN"/>
              </w:rPr>
            </w:pPr>
            <w:r>
              <w:rPr>
                <w:rFonts w:hint="eastAsia"/>
                <w:color w:val="auto"/>
                <w:highlight w:val="none"/>
                <w:lang w:val="en-US" w:eastAsia="zh-CN"/>
              </w:rPr>
              <w:t>该</w:t>
            </w:r>
            <w:r>
              <w:rPr>
                <w:rFonts w:hint="eastAsia"/>
                <w:color w:val="auto"/>
                <w:highlight w:val="none"/>
              </w:rPr>
              <w:t>项目拟在</w:t>
            </w:r>
            <w:r>
              <w:rPr>
                <w:rFonts w:hint="eastAsia"/>
                <w:color w:val="auto"/>
                <w:highlight w:val="none"/>
                <w:lang w:eastAsia="zh-CN"/>
              </w:rPr>
              <w:t>101合成车间一（甲类）</w:t>
            </w:r>
            <w:r>
              <w:rPr>
                <w:rFonts w:hint="eastAsia"/>
                <w:color w:val="auto"/>
                <w:highlight w:val="none"/>
                <w:lang w:val="en-US" w:eastAsia="zh-CN"/>
              </w:rPr>
              <w:t>7-12轴位置设置年产60吨的甲基泼尼松龙格氏物生产线；配套部分公用工程设施利用公司现有的。</w:t>
            </w:r>
          </w:p>
          <w:p>
            <w:pPr>
              <w:ind w:firstLine="480"/>
              <w:rPr>
                <w:rFonts w:hint="eastAsia" w:ascii="Times New Roman"/>
              </w:rPr>
            </w:pPr>
            <w:r>
              <w:rPr>
                <w:rFonts w:hint="eastAsia" w:ascii="Times New Roman"/>
              </w:rPr>
              <w:t>企业公司现有员工</w:t>
            </w:r>
            <w:r>
              <w:rPr>
                <w:rFonts w:hint="eastAsia" w:ascii="Times New Roman"/>
                <w:lang w:eastAsia="zh-CN"/>
              </w:rPr>
              <w:t>1</w:t>
            </w:r>
            <w:r>
              <w:rPr>
                <w:rFonts w:hint="eastAsia" w:ascii="Times New Roman"/>
                <w:lang w:val="en-US" w:eastAsia="zh-CN"/>
              </w:rPr>
              <w:t>3</w:t>
            </w:r>
            <w:r>
              <w:rPr>
                <w:rFonts w:hint="eastAsia" w:ascii="Times New Roman"/>
                <w:lang w:eastAsia="zh-CN"/>
              </w:rPr>
              <w:t>0人</w:t>
            </w:r>
            <w:r>
              <w:rPr>
                <w:rFonts w:hint="eastAsia" w:ascii="Times New Roman"/>
              </w:rPr>
              <w:t>，其中生产工人</w:t>
            </w:r>
            <w:r>
              <w:rPr>
                <w:rFonts w:hint="eastAsia" w:ascii="Times New Roman"/>
                <w:lang w:val="en-US" w:eastAsia="zh-CN"/>
              </w:rPr>
              <w:t>57</w:t>
            </w:r>
            <w:r>
              <w:rPr>
                <w:rFonts w:hint="eastAsia" w:ascii="Times New Roman"/>
                <w:lang w:eastAsia="zh-CN"/>
              </w:rPr>
              <w:t>人</w:t>
            </w:r>
            <w:r>
              <w:rPr>
                <w:rFonts w:hint="eastAsia" w:ascii="Times New Roman"/>
              </w:rPr>
              <w:t>，管理人员（含技术人员）</w:t>
            </w:r>
            <w:r>
              <w:rPr>
                <w:rFonts w:hint="eastAsia" w:ascii="Times New Roman"/>
                <w:lang w:val="en-US" w:eastAsia="zh-CN"/>
              </w:rPr>
              <w:t>40</w:t>
            </w:r>
            <w:r>
              <w:rPr>
                <w:rFonts w:hint="eastAsia" w:ascii="Times New Roman"/>
                <w:lang w:eastAsia="zh-CN"/>
              </w:rPr>
              <w:t>人</w:t>
            </w:r>
            <w:r>
              <w:rPr>
                <w:rFonts w:ascii="Times New Roman"/>
              </w:rPr>
              <w:t>，</w:t>
            </w:r>
            <w:r>
              <w:rPr>
                <w:rFonts w:hint="eastAsia" w:ascii="Times New Roman"/>
                <w:lang w:val="en-US" w:eastAsia="zh-CN"/>
              </w:rPr>
              <w:t>本项目劳动定员9</w:t>
            </w:r>
            <w:r>
              <w:rPr>
                <w:rFonts w:ascii="Times New Roman"/>
              </w:rPr>
              <w:t>人</w:t>
            </w:r>
            <w:r>
              <w:rPr>
                <w:rFonts w:hint="eastAsia" w:ascii="Times New Roman"/>
                <w:lang w:eastAsia="zh-CN"/>
              </w:rPr>
              <w:t>。</w:t>
            </w:r>
            <w:r>
              <w:rPr>
                <w:rFonts w:hint="eastAsia" w:ascii="Times New Roman"/>
                <w:lang w:val="en-US" w:eastAsia="zh-CN"/>
              </w:rPr>
              <w:t>三</w:t>
            </w:r>
            <w:r>
              <w:rPr>
                <w:rFonts w:hint="eastAsia" w:ascii="Times New Roman"/>
                <w:lang w:eastAsia="zh-CN"/>
              </w:rPr>
              <w:t>班两运转，</w:t>
            </w:r>
            <w:r>
              <w:rPr>
                <w:rFonts w:hint="eastAsia" w:ascii="Times New Roman"/>
                <w:lang w:val="en-US" w:eastAsia="zh-CN"/>
              </w:rPr>
              <w:t>年生产天数300天</w:t>
            </w: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ind w:firstLine="280" w:firstLineChars="100"/>
              <w:jc w:val="left"/>
              <w:rPr>
                <w:rFonts w:hAnsi="宋体"/>
                <w:sz w:val="28"/>
                <w:szCs w:val="20"/>
              </w:rPr>
            </w:pPr>
            <w:r>
              <w:rPr>
                <w:rFonts w:hAnsi="宋体"/>
                <w:sz w:val="28"/>
                <w:szCs w:val="20"/>
              </w:rPr>
              <w:t>工艺流程简图</w:t>
            </w:r>
            <w:r>
              <w:rPr>
                <w:rFonts w:hint="eastAsia" w:hAnsi="宋体"/>
                <w:sz w:val="28"/>
                <w:szCs w:val="20"/>
              </w:rPr>
              <w:t>：</w:t>
            </w:r>
          </w:p>
          <w:p>
            <w:pPr>
              <w:jc w:val="center"/>
              <w:rPr>
                <w:rFonts w:hint="eastAsia" w:ascii="Times New Roman" w:hAnsi="宋体"/>
              </w:rPr>
            </w:pPr>
            <w:r>
              <w:drawing>
                <wp:inline distT="0" distB="0" distL="114300" distR="114300">
                  <wp:extent cx="4981575" cy="7515225"/>
                  <wp:effectExtent l="0" t="0" r="952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
                          <a:stretch>
                            <a:fillRect/>
                          </a:stretch>
                        </pic:blipFill>
                        <pic:spPr>
                          <a:xfrm>
                            <a:off x="0" y="0"/>
                            <a:ext cx="4981575" cy="7515225"/>
                          </a:xfrm>
                          <a:prstGeom prst="rect">
                            <a:avLst/>
                          </a:prstGeom>
                          <a:noFill/>
                          <a:ln>
                            <a:noFill/>
                          </a:ln>
                        </pic:spPr>
                      </pic:pic>
                    </a:graphicData>
                  </a:graphic>
                </wp:inline>
              </w:drawing>
            </w:r>
            <w:r>
              <w:drawing>
                <wp:inline distT="0" distB="0" distL="114300" distR="114300">
                  <wp:extent cx="5169535" cy="7414260"/>
                  <wp:effectExtent l="0" t="0" r="12065" b="1524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
                          <a:stretch>
                            <a:fillRect/>
                          </a:stretch>
                        </pic:blipFill>
                        <pic:spPr>
                          <a:xfrm>
                            <a:off x="0" y="0"/>
                            <a:ext cx="5169535" cy="7414260"/>
                          </a:xfrm>
                          <a:prstGeom prst="rect">
                            <a:avLst/>
                          </a:prstGeom>
                          <a:noFill/>
                          <a:ln>
                            <a:noFill/>
                          </a:ln>
                        </pic:spPr>
                      </pic:pic>
                    </a:graphicData>
                  </a:graphic>
                </wp:inline>
              </w:drawing>
            </w:r>
            <w:r>
              <w:drawing>
                <wp:inline distT="0" distB="0" distL="114300" distR="114300">
                  <wp:extent cx="5168900" cy="8413115"/>
                  <wp:effectExtent l="0" t="0" r="12700" b="698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6"/>
                          <a:stretch>
                            <a:fillRect/>
                          </a:stretch>
                        </pic:blipFill>
                        <pic:spPr>
                          <a:xfrm>
                            <a:off x="0" y="0"/>
                            <a:ext cx="5168900" cy="8413115"/>
                          </a:xfrm>
                          <a:prstGeom prst="rect">
                            <a:avLst/>
                          </a:prstGeom>
                          <a:noFill/>
                          <a:ln>
                            <a:noFill/>
                          </a:ln>
                        </pic:spPr>
                      </pic:pic>
                    </a:graphicData>
                  </a:graphic>
                </wp:inline>
              </w:drawing>
            </w:r>
            <w:r>
              <w:drawing>
                <wp:inline distT="0" distB="0" distL="114300" distR="114300">
                  <wp:extent cx="2762250" cy="6858000"/>
                  <wp:effectExtent l="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7"/>
                          <a:stretch>
                            <a:fillRect/>
                          </a:stretch>
                        </pic:blipFill>
                        <pic:spPr>
                          <a:xfrm>
                            <a:off x="0" y="0"/>
                            <a:ext cx="2762250" cy="6858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jc w:val="center"/>
        <w:rPr>
          <w:rFonts w:hint="eastAsia" w:eastAsia="仿宋_GB2312"/>
          <w:lang w:eastAsia="zh-CN"/>
        </w:rPr>
      </w:pPr>
      <w:r>
        <w:rPr>
          <w:rFonts w:hint="eastAsia" w:eastAsia="仿宋_GB2312"/>
          <w:lang w:eastAsia="zh-CN"/>
        </w:rPr>
        <w:drawing>
          <wp:inline distT="0" distB="0" distL="114300" distR="114300">
            <wp:extent cx="5272405" cy="3572510"/>
            <wp:effectExtent l="0" t="0" r="4445" b="8890"/>
            <wp:docPr id="1" name="图片 1" descr="e0fbfdc807e2db0f1e9f8596a6ce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fbfdc807e2db0f1e9f8596a6ce6a4"/>
                    <pic:cNvPicPr>
                      <a:picLocks noChangeAspect="1"/>
                    </pic:cNvPicPr>
                  </pic:nvPicPr>
                  <pic:blipFill>
                    <a:blip r:embed="rId8"/>
                    <a:stretch>
                      <a:fillRect/>
                    </a:stretch>
                  </pic:blipFill>
                  <pic:spPr>
                    <a:xfrm>
                      <a:off x="0" y="0"/>
                      <a:ext cx="5272405" cy="3572510"/>
                    </a:xfrm>
                    <a:prstGeom prst="rect">
                      <a:avLst/>
                    </a:prstGeom>
                  </pic:spPr>
                </pic:pic>
              </a:graphicData>
            </a:graphic>
          </wp:inline>
        </w:drawing>
      </w:r>
      <w:r>
        <w:rPr>
          <w:rFonts w:hint="eastAsia" w:eastAsia="仿宋_GB2312"/>
          <w:lang w:eastAsia="zh-CN"/>
        </w:rPr>
        <w:drawing>
          <wp:inline distT="0" distB="0" distL="114300" distR="114300">
            <wp:extent cx="5269865" cy="3597275"/>
            <wp:effectExtent l="0" t="0" r="6985" b="3175"/>
            <wp:docPr id="2" name="图片 2" descr="d83dbf37bb7d2e030edee5cf27a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83dbf37bb7d2e030edee5cf27a5950"/>
                    <pic:cNvPicPr>
                      <a:picLocks noChangeAspect="1"/>
                    </pic:cNvPicPr>
                  </pic:nvPicPr>
                  <pic:blipFill>
                    <a:blip r:embed="rId9"/>
                    <a:stretch>
                      <a:fillRect/>
                    </a:stretch>
                  </pic:blipFill>
                  <pic:spPr>
                    <a:xfrm>
                      <a:off x="0" y="0"/>
                      <a:ext cx="5269865" cy="3597275"/>
                    </a:xfrm>
                    <a:prstGeom prst="rect">
                      <a:avLst/>
                    </a:prstGeom>
                  </pic:spPr>
                </pic:pic>
              </a:graphicData>
            </a:graphic>
          </wp:inline>
        </w:drawing>
      </w:r>
      <w:r>
        <w:rPr>
          <w:rFonts w:hint="eastAsia" w:eastAsia="仿宋_GB2312"/>
          <w:lang w:eastAsia="zh-CN"/>
        </w:rPr>
        <w:drawing>
          <wp:inline distT="0" distB="0" distL="114300" distR="114300">
            <wp:extent cx="5269865" cy="3830955"/>
            <wp:effectExtent l="0" t="0" r="6985" b="17145"/>
            <wp:docPr id="15" name="图片 15" descr="0ed35840b0dcfc23718fe6566a0e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d35840b0dcfc23718fe6566a0edb8"/>
                    <pic:cNvPicPr>
                      <a:picLocks noChangeAspect="1"/>
                    </pic:cNvPicPr>
                  </pic:nvPicPr>
                  <pic:blipFill>
                    <a:blip r:embed="rId10"/>
                    <a:stretch>
                      <a:fillRect/>
                    </a:stretch>
                  </pic:blipFill>
                  <pic:spPr>
                    <a:xfrm>
                      <a:off x="0" y="0"/>
                      <a:ext cx="5269865" cy="3830955"/>
                    </a:xfrm>
                    <a:prstGeom prst="rect">
                      <a:avLst/>
                    </a:prstGeom>
                  </pic:spPr>
                </pic:pic>
              </a:graphicData>
            </a:graphic>
          </wp:inline>
        </w:drawing>
      </w:r>
    </w:p>
    <w:p>
      <w:pPr>
        <w:rPr>
          <w:rFonts w:hint="eastAsia" w:eastAsia="仿宋_GB2312"/>
          <w:lang w:eastAsia="zh-CN"/>
        </w:rPr>
      </w:pPr>
      <w:r>
        <w:rPr>
          <w:rFonts w:hint="eastAsia" w:eastAsia="仿宋_GB2312"/>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 xml:space="preserve">江西新赣江药业股份有限公司葡萄糖酸锌酸亚铁乳酸钙口服固体制剂片剂及愈酚喷托异丙嗪生产项目安全预评价报告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ascii="宋体" w:hAnsi="宋体" w:cs="宋体"/>
                <w:sz w:val="24"/>
              </w:rPr>
              <w:t>5</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徐顺星</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S011041000110192002229</w:t>
            </w:r>
          </w:p>
        </w:tc>
        <w:tc>
          <w:tcPr>
            <w:tcW w:w="2115" w:type="dxa"/>
            <w:tcBorders>
              <w:tl2br w:val="nil"/>
              <w:tr2bl w:val="nil"/>
            </w:tcBorders>
            <w:shd w:val="clear" w:color="auto" w:fill="FFFFFF"/>
            <w:vAlign w:val="center"/>
          </w:tcPr>
          <w:p>
            <w:pPr>
              <w:widowControl/>
              <w:spacing w:line="360" w:lineRule="exact"/>
              <w:jc w:val="center"/>
              <w:rPr>
                <w:rFonts w:ascii="Times New Roman" w:hAnsi="Times New Roman"/>
                <w:sz w:val="24"/>
              </w:rPr>
            </w:pPr>
            <w:r>
              <w:rPr>
                <w:rFonts w:hint="eastAsia" w:ascii="Times New Roman" w:hAnsi="Times New Roman"/>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1200000000300398</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韦根远</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S011044000110191001083</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岳强</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0800000000102212</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陈武斌</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rPr>
              <w:t>徐顺星、吴红玉2024.</w:t>
            </w:r>
            <w:r>
              <w:rPr>
                <w:sz w:val="24"/>
              </w:rPr>
              <w:t>3</w:t>
            </w:r>
            <w:r>
              <w:rPr>
                <w:rFonts w:hint="eastAsia"/>
                <w:sz w:val="24"/>
              </w:rPr>
              <w:t>.</w:t>
            </w:r>
            <w:r>
              <w:rPr>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sz w:val="24"/>
              </w:rPr>
              <w:t>徐顺星、吴红玉2024.</w:t>
            </w:r>
            <w:r>
              <w:rPr>
                <w:sz w:val="24"/>
              </w:rPr>
              <w:t>5</w:t>
            </w:r>
            <w:r>
              <w:rPr>
                <w:rFonts w:hint="eastAsia"/>
                <w:sz w:val="24"/>
              </w:rPr>
              <w:t>.</w:t>
            </w:r>
            <w:r>
              <w:rPr>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480"/>
              <w:rPr>
                <w:rFonts w:hint="eastAsia" w:ascii="Times New Roman"/>
              </w:rPr>
            </w:pPr>
            <w:r>
              <w:rPr>
                <w:rFonts w:hint="eastAsia" w:ascii="Times New Roman"/>
              </w:rPr>
              <w:t>江西新赣江药业股份有限公司成立于2004年4月20日，并取得吉安市市场监督管理局颁发的《营业执照》，营业执照统一社会信用代码：91360800759975583T。公司注册住所：江西省吉安市吉州区云章路36号。法定代表人：张爱江，注册资本伍仟壹佰贰拾贰万伍仟元整。企业性质为其他股份有限公司(非上市)。营业执照许可经营范围：片剂、硬胶囊剂、颗粒剂、散剂、锭剂、原料药、食品添加剂、保健食品、兽药生产与销售;进出口贸易。(依法须经批准的项目，经相关部门批准后方可开展经营活动)**</w:t>
            </w:r>
            <w:r>
              <w:rPr>
                <w:rFonts w:ascii="Times New Roman"/>
              </w:rPr>
              <w:t>。</w:t>
            </w:r>
            <w:r>
              <w:rPr>
                <w:rFonts w:hint="eastAsia"/>
              </w:rPr>
              <w:t>本期拟投资5000万元，建成后可形成产品规模：</w:t>
            </w:r>
            <w:r>
              <w:rPr>
                <w:rFonts w:hint="eastAsia" w:hAnsi="宋体" w:cs="宋体"/>
              </w:rPr>
              <w:t>一条年产200吨</w:t>
            </w:r>
            <w:r>
              <w:rPr>
                <w:rFonts w:hint="eastAsia"/>
              </w:rPr>
              <w:t>葡萄糖酸锌、</w:t>
            </w:r>
            <w:r>
              <w:rPr>
                <w:rFonts w:hint="eastAsia" w:hAnsi="宋体" w:cs="宋体"/>
              </w:rPr>
              <w:t>200吨</w:t>
            </w:r>
            <w:r>
              <w:rPr>
                <w:rFonts w:hint="eastAsia"/>
              </w:rPr>
              <w:t>葡萄糖酸亚铁、</w:t>
            </w:r>
            <w:r>
              <w:rPr>
                <w:rFonts w:hint="eastAsia" w:hAnsi="宋体" w:cs="宋体"/>
              </w:rPr>
              <w:t>200吨</w:t>
            </w:r>
            <w:r>
              <w:rPr>
                <w:rFonts w:hint="eastAsia"/>
              </w:rPr>
              <w:t>乳酸钙生产线，及一条年产8000万包口服固体制剂、16亿片剂生产线</w:t>
            </w:r>
            <w:r>
              <w:rPr>
                <w:rFonts w:hint="eastAsia" w:hAnsi="宋体" w:cs="宋体"/>
              </w:rPr>
              <w:t>，并依托此条生产线年产1440万包（每包5g）愈酚喷托异丙嗪（</w:t>
            </w:r>
            <w:r>
              <w:rPr>
                <w:rFonts w:hint="eastAsia"/>
              </w:rPr>
              <w:t>口服固体制剂片剂生产线</w:t>
            </w:r>
            <w:r>
              <w:rPr>
                <w:rFonts w:hint="eastAsia" w:hAnsi="宋体" w:cs="宋体"/>
              </w:rPr>
              <w:t>生产装置除年产1440万包愈酚喷托异丙嗪外，同时为厂内其他药品进行制剂、片剂的生产）。</w:t>
            </w:r>
            <w:r>
              <w:rPr>
                <w:rFonts w:hint="eastAsia"/>
              </w:rPr>
              <w:t>此项目投入生产后，预计新增产值6033.71万。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jc w:val="left"/>
              <w:rPr>
                <w:rFonts w:hint="eastAsia" w:ascii="Times New Roman" w:hAnsi="Calibri" w:eastAsia="宋体" w:cs="Times New Roman"/>
                <w:kern w:val="2"/>
                <w:sz w:val="21"/>
                <w:szCs w:val="24"/>
                <w:lang w:val="en-US" w:eastAsia="zh-CN" w:bidi="ar-SA"/>
              </w:rPr>
            </w:pPr>
            <w:r>
              <w:rPr>
                <w:rFonts w:hint="eastAsia" w:ascii="Times New Roman" w:hAnsi="Calibri" w:eastAsia="宋体" w:cs="Times New Roman"/>
                <w:kern w:val="2"/>
                <w:sz w:val="21"/>
                <w:szCs w:val="24"/>
                <w:lang w:val="en-US" w:eastAsia="zh-CN" w:bidi="ar-SA"/>
              </w:rPr>
              <w:t>葡萄糖酸锌工艺流程简图：</w:t>
            </w:r>
          </w:p>
          <w:p>
            <w:pPr>
              <w:pStyle w:val="10"/>
              <w:spacing w:line="360" w:lineRule="auto"/>
              <w:jc w:val="left"/>
              <w:rPr>
                <w:rFonts w:hAnsi="宋体"/>
                <w:sz w:val="28"/>
                <w:szCs w:val="20"/>
              </w:rPr>
            </w:pPr>
            <w:r>
              <w:drawing>
                <wp:inline distT="0" distB="0" distL="114300" distR="114300">
                  <wp:extent cx="4896485" cy="4247515"/>
                  <wp:effectExtent l="0" t="0" r="18415"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4896485" cy="4247515"/>
                          </a:xfrm>
                          <a:prstGeom prst="rect">
                            <a:avLst/>
                          </a:prstGeom>
                          <a:noFill/>
                          <a:ln>
                            <a:noFill/>
                          </a:ln>
                        </pic:spPr>
                      </pic:pic>
                    </a:graphicData>
                  </a:graphic>
                </wp:inline>
              </w:drawing>
            </w:r>
          </w:p>
          <w:p>
            <w:pPr>
              <w:rPr>
                <w:rFonts w:hint="eastAsia" w:ascii="Times New Roman" w:hAnsi="宋体"/>
                <w:lang w:eastAsia="zh-CN"/>
              </w:rPr>
            </w:pPr>
            <w:r>
              <w:rPr>
                <w:rFonts w:hint="eastAsia" w:ascii="Times New Roman" w:hAnsi="宋体"/>
              </w:rPr>
              <w:t>葡萄糖酸亚铁生产工艺流程</w:t>
            </w:r>
            <w:r>
              <w:rPr>
                <w:rFonts w:hint="eastAsia" w:ascii="Times New Roman" w:hAnsi="宋体"/>
                <w:lang w:eastAsia="zh-CN"/>
              </w:rPr>
              <w:t>：</w:t>
            </w:r>
          </w:p>
          <w:p>
            <w:pPr>
              <w:pStyle w:val="2"/>
              <w:ind w:left="0" w:leftChars="0" w:firstLine="0" w:firstLineChars="0"/>
            </w:pPr>
            <w:r>
              <w:drawing>
                <wp:inline distT="0" distB="0" distL="114300" distR="114300">
                  <wp:extent cx="5232400" cy="2854325"/>
                  <wp:effectExtent l="0" t="0" r="6350"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2"/>
                          <a:stretch>
                            <a:fillRect/>
                          </a:stretch>
                        </pic:blipFill>
                        <pic:spPr>
                          <a:xfrm>
                            <a:off x="0" y="0"/>
                            <a:ext cx="5232400" cy="2854325"/>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乳酸钙生产工艺流程：</w:t>
            </w:r>
          </w:p>
          <w:p>
            <w:pPr>
              <w:pStyle w:val="2"/>
              <w:ind w:left="0" w:leftChars="0" w:firstLine="0" w:firstLineChars="0"/>
            </w:pPr>
            <w:r>
              <w:drawing>
                <wp:inline distT="0" distB="0" distL="114300" distR="114300">
                  <wp:extent cx="4107815" cy="4156075"/>
                  <wp:effectExtent l="0" t="0" r="6985" b="1587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3"/>
                          <a:stretch>
                            <a:fillRect/>
                          </a:stretch>
                        </pic:blipFill>
                        <pic:spPr>
                          <a:xfrm>
                            <a:off x="0" y="0"/>
                            <a:ext cx="4107815" cy="4156075"/>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rPr>
              <w:t>愈酚喷托异丙嗪</w:t>
            </w:r>
            <w:r>
              <w:rPr>
                <w:rFonts w:hint="eastAsia"/>
                <w:lang w:val="en-US" w:eastAsia="zh-CN"/>
              </w:rPr>
              <w:t>生产工艺流程：</w:t>
            </w:r>
          </w:p>
          <w:p>
            <w:pPr>
              <w:pStyle w:val="2"/>
              <w:ind w:left="0" w:leftChars="0" w:firstLine="0" w:firstLineChars="0"/>
              <w:rPr>
                <w:rFonts w:hint="default"/>
                <w:lang w:val="en-US" w:eastAsia="zh-CN"/>
              </w:rPr>
            </w:pPr>
          </w:p>
          <w:p>
            <w:pPr>
              <w:pStyle w:val="2"/>
              <w:ind w:left="0" w:leftChars="0" w:firstLine="0" w:firstLineChars="0"/>
            </w:pPr>
            <w:r>
              <w:drawing>
                <wp:inline distT="0" distB="0" distL="114300" distR="114300">
                  <wp:extent cx="3425825" cy="2929890"/>
                  <wp:effectExtent l="0" t="0" r="3175" b="381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4"/>
                          <a:stretch>
                            <a:fillRect/>
                          </a:stretch>
                        </pic:blipFill>
                        <pic:spPr>
                          <a:xfrm>
                            <a:off x="0" y="0"/>
                            <a:ext cx="3425825" cy="2929890"/>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default"/>
                <w:lang w:val="en-US" w:eastAsia="zh-CN"/>
              </w:rPr>
              <w:t>年产8000万包口服固体制剂、16亿片剂生产工艺</w:t>
            </w:r>
            <w:r>
              <w:rPr>
                <w:rFonts w:hint="eastAsia"/>
                <w:lang w:val="en-US" w:eastAsia="zh-CN"/>
              </w:rPr>
              <w:t>流程图：</w:t>
            </w:r>
          </w:p>
          <w:p>
            <w:pPr>
              <w:pStyle w:val="2"/>
              <w:ind w:left="0" w:leftChars="0" w:firstLine="0" w:firstLineChars="0"/>
              <w:rPr>
                <w:rFonts w:hint="default"/>
                <w:lang w:val="en-US" w:eastAsia="zh-CN"/>
              </w:rPr>
            </w:pPr>
            <w:r>
              <w:drawing>
                <wp:inline distT="0" distB="0" distL="114300" distR="114300">
                  <wp:extent cx="5168265" cy="3445510"/>
                  <wp:effectExtent l="0" t="0" r="13335" b="254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5"/>
                          <a:stretch>
                            <a:fillRect/>
                          </a:stretch>
                        </pic:blipFill>
                        <pic:spPr>
                          <a:xfrm>
                            <a:off x="0" y="0"/>
                            <a:ext cx="5168265" cy="3445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pStyle w:val="2"/>
        <w:rPr>
          <w:rFonts w:hint="eastAsia" w:eastAsia="仿宋_GB2312"/>
          <w:lang w:eastAsia="zh-CN"/>
        </w:rPr>
      </w:pPr>
      <w:r>
        <w:rPr>
          <w:rFonts w:hint="eastAsia" w:eastAsia="仿宋_GB2312"/>
          <w:lang w:eastAsia="zh-CN"/>
        </w:rPr>
        <w:drawing>
          <wp:inline distT="0" distB="0" distL="114300" distR="114300">
            <wp:extent cx="5274310" cy="3955415"/>
            <wp:effectExtent l="0" t="0" r="2540" b="6985"/>
            <wp:docPr id="19" name="图片 19" descr="25838acb7153a5039ffbbc55b06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5838acb7153a5039ffbbc55b065910"/>
                    <pic:cNvPicPr>
                      <a:picLocks noChangeAspect="1"/>
                    </pic:cNvPicPr>
                  </pic:nvPicPr>
                  <pic:blipFill>
                    <a:blip r:embed="rId16"/>
                    <a:stretch>
                      <a:fillRect/>
                    </a:stretch>
                  </pic:blipFill>
                  <pic:spPr>
                    <a:xfrm>
                      <a:off x="0" y="0"/>
                      <a:ext cx="5274310" cy="3955415"/>
                    </a:xfrm>
                    <a:prstGeom prst="rect">
                      <a:avLst/>
                    </a:prstGeom>
                  </pic:spPr>
                </pic:pic>
              </a:graphicData>
            </a:graphic>
          </wp:inline>
        </w:drawing>
      </w:r>
      <w:r>
        <w:rPr>
          <w:rFonts w:hint="eastAsia" w:eastAsia="仿宋_GB2312"/>
          <w:lang w:eastAsia="zh-CN"/>
        </w:rPr>
        <w:drawing>
          <wp:inline distT="0" distB="0" distL="114300" distR="114300">
            <wp:extent cx="5274310" cy="3955415"/>
            <wp:effectExtent l="0" t="0" r="2540" b="6985"/>
            <wp:docPr id="20" name="图片 20" descr="28356e8b97581611c296fcf898de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8356e8b97581611c296fcf898de6fa"/>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p>
    <w:p>
      <w:pPr>
        <w:pStyle w:val="2"/>
        <w:ind w:left="0" w:leftChars="0" w:firstLine="0" w:firstLineChars="0"/>
        <w:rPr>
          <w:rFonts w:hint="eastAsia" w:eastAsia="仿宋_GB2312"/>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3YTU0NzNjM2E4ODE1YzdkMzFiOTRjOWY1MGMxN2UifQ=="/>
    <w:docVar w:name="KSO_WPS_MARK_KEY" w:val="f0c94484-18bf-41d0-a894-232196517eb0"/>
  </w:docVars>
  <w:rsids>
    <w:rsidRoot w:val="00E3751A"/>
    <w:rsid w:val="00047227"/>
    <w:rsid w:val="002012A2"/>
    <w:rsid w:val="00303C12"/>
    <w:rsid w:val="003A7C06"/>
    <w:rsid w:val="004340C8"/>
    <w:rsid w:val="00443349"/>
    <w:rsid w:val="004D1AF7"/>
    <w:rsid w:val="005858BE"/>
    <w:rsid w:val="00756850"/>
    <w:rsid w:val="00787BD2"/>
    <w:rsid w:val="007A2261"/>
    <w:rsid w:val="00802085"/>
    <w:rsid w:val="008F01AE"/>
    <w:rsid w:val="009570B9"/>
    <w:rsid w:val="00C341C7"/>
    <w:rsid w:val="00C75118"/>
    <w:rsid w:val="00C82162"/>
    <w:rsid w:val="00D40559"/>
    <w:rsid w:val="00E3751A"/>
    <w:rsid w:val="00F46A10"/>
    <w:rsid w:val="00F60933"/>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9A37E9F"/>
    <w:rsid w:val="0A0E1339"/>
    <w:rsid w:val="0A173A74"/>
    <w:rsid w:val="0A4F7A65"/>
    <w:rsid w:val="0BC750FD"/>
    <w:rsid w:val="0D073DB5"/>
    <w:rsid w:val="0D081033"/>
    <w:rsid w:val="0E564C35"/>
    <w:rsid w:val="0EC817E1"/>
    <w:rsid w:val="0F1C6141"/>
    <w:rsid w:val="0FFD1618"/>
    <w:rsid w:val="10806817"/>
    <w:rsid w:val="10A546BD"/>
    <w:rsid w:val="10AE1BD9"/>
    <w:rsid w:val="10D96D50"/>
    <w:rsid w:val="126869D3"/>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6134134"/>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29273A"/>
    <w:rsid w:val="4F4C1097"/>
    <w:rsid w:val="4F844CD5"/>
    <w:rsid w:val="4FF32FA8"/>
    <w:rsid w:val="50EA0B03"/>
    <w:rsid w:val="512A57AB"/>
    <w:rsid w:val="515A3854"/>
    <w:rsid w:val="5276471A"/>
    <w:rsid w:val="52B20F97"/>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BEF0861"/>
    <w:rsid w:val="5C3A1541"/>
    <w:rsid w:val="5CA15F65"/>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9C103C0"/>
    <w:rsid w:val="6AA57F27"/>
    <w:rsid w:val="6CC37EB5"/>
    <w:rsid w:val="6D1139EB"/>
    <w:rsid w:val="6D3457FF"/>
    <w:rsid w:val="6E2A4841"/>
    <w:rsid w:val="6EEF19E2"/>
    <w:rsid w:val="6F3D1DEF"/>
    <w:rsid w:val="6F963F3C"/>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7"/>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99"/>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12</Pages>
  <Words>4030</Words>
  <Characters>4967</Characters>
  <Lines>26</Lines>
  <Paragraphs>7</Paragraphs>
  <TotalTime>2</TotalTime>
  <ScaleCrop>false</ScaleCrop>
  <LinksUpToDate>false</LinksUpToDate>
  <CharactersWithSpaces>4985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　　　如同陌纸゜</cp:lastModifiedBy>
  <dcterms:modified xsi:type="dcterms:W3CDTF">2024-06-20T04:00:12Z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15D8DE2E487D43338CB32758897E9336_13</vt:lpwstr>
  </property>
</Properties>
</file>