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50"/>
        <w:gridCol w:w="1443"/>
        <w:gridCol w:w="3864"/>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项目名称</w:t>
            </w:r>
          </w:p>
        </w:tc>
        <w:tc>
          <w:tcPr>
            <w:tcW w:w="7204" w:type="dxa"/>
            <w:gridSpan w:val="3"/>
            <w:tcBorders>
              <w:tl2br w:val="nil"/>
              <w:tr2bl w:val="nil"/>
            </w:tcBorders>
            <w:shd w:val="clear" w:color="auto" w:fill="auto"/>
            <w:vAlign w:val="center"/>
          </w:tcPr>
          <w:p>
            <w:pPr>
              <w:spacing w:line="240" w:lineRule="auto"/>
              <w:jc w:val="center"/>
              <w:rPr>
                <w:rFonts w:hint="default"/>
                <w:lang w:val="en-US" w:eastAsia="zh-CN"/>
              </w:rPr>
            </w:pPr>
            <w:bookmarkStart w:id="0" w:name="OLE_LINK1"/>
            <w:r>
              <w:rPr>
                <w:rFonts w:hint="eastAsia" w:ascii="宋体" w:hAnsi="宋体" w:eastAsia="宋体" w:cs="宋体"/>
                <w:color w:val="333333"/>
                <w:kern w:val="0"/>
                <w:sz w:val="24"/>
                <w:szCs w:val="20"/>
                <w:shd w:val="clear" w:color="auto" w:fill="FFFFFF"/>
                <w:lang w:val="en-US" w:eastAsia="zh-CN" w:bidi="ar-SA"/>
              </w:rPr>
              <w:t>西咸新区秦汉新城中油氢能科技有限公司沣泾大道加油站项目安全预评价</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完成时间</w:t>
            </w:r>
          </w:p>
        </w:tc>
        <w:tc>
          <w:tcPr>
            <w:tcW w:w="7204" w:type="dxa"/>
            <w:gridSpan w:val="3"/>
            <w:tcBorders>
              <w:tl2br w:val="nil"/>
              <w:tr2bl w:val="nil"/>
            </w:tcBorders>
            <w:shd w:val="clear" w:color="auto" w:fill="auto"/>
            <w:vAlign w:val="center"/>
          </w:tcPr>
          <w:p>
            <w:pPr>
              <w:pStyle w:val="9"/>
              <w:bidi w:val="0"/>
              <w:rPr>
                <w:rFonts w:hint="default"/>
                <w:lang w:val="en-US" w:eastAsia="zh-CN"/>
              </w:rPr>
            </w:pPr>
            <w:r>
              <w:rPr>
                <w:rFonts w:hint="eastAsia"/>
                <w:lang w:val="en-US" w:eastAsia="zh-CN"/>
              </w:rPr>
              <w:t>2023.9.14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shd w:val="clear" w:color="auto" w:fill="auto"/>
            <w:vAlign w:val="center"/>
          </w:tcPr>
          <w:p>
            <w:pPr>
              <w:pStyle w:val="9"/>
              <w:bidi w:val="0"/>
            </w:pPr>
            <w:r>
              <w:rPr>
                <w:rFonts w:hint="eastAsia"/>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p>
        </w:tc>
        <w:tc>
          <w:tcPr>
            <w:tcW w:w="1443" w:type="dxa"/>
            <w:tcBorders>
              <w:tl2br w:val="nil"/>
              <w:tr2bl w:val="nil"/>
            </w:tcBorders>
            <w:shd w:val="clear" w:color="auto" w:fill="auto"/>
            <w:vAlign w:val="center"/>
          </w:tcPr>
          <w:p>
            <w:pPr>
              <w:pStyle w:val="9"/>
              <w:bidi w:val="0"/>
            </w:pPr>
            <w:r>
              <w:t>姓名</w:t>
            </w:r>
          </w:p>
        </w:tc>
        <w:tc>
          <w:tcPr>
            <w:tcW w:w="3864" w:type="dxa"/>
            <w:tcBorders>
              <w:tl2br w:val="nil"/>
              <w:tr2bl w:val="nil"/>
            </w:tcBorders>
            <w:shd w:val="clear" w:color="auto" w:fill="auto"/>
            <w:vAlign w:val="center"/>
          </w:tcPr>
          <w:p>
            <w:pPr>
              <w:pStyle w:val="9"/>
              <w:bidi w:val="0"/>
            </w:pPr>
            <w:r>
              <w:t>资格证书号</w:t>
            </w:r>
          </w:p>
        </w:tc>
        <w:tc>
          <w:tcPr>
            <w:tcW w:w="1897" w:type="dxa"/>
            <w:tcBorders>
              <w:tl2br w:val="nil"/>
              <w:tr2bl w:val="nil"/>
            </w:tcBorders>
            <w:shd w:val="clear" w:color="auto" w:fill="auto"/>
            <w:vAlign w:val="center"/>
          </w:tcPr>
          <w:p>
            <w:pPr>
              <w:pStyle w:val="9"/>
              <w:bidi w:val="0"/>
            </w:pPr>
            <w: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项目负责人</w:t>
            </w:r>
          </w:p>
        </w:tc>
        <w:tc>
          <w:tcPr>
            <w:tcW w:w="1443" w:type="dxa"/>
            <w:tcBorders>
              <w:tl2br w:val="nil"/>
              <w:tr2bl w:val="nil"/>
            </w:tcBorders>
            <w:shd w:val="clear" w:color="auto" w:fill="auto"/>
            <w:vAlign w:val="center"/>
          </w:tcPr>
          <w:p>
            <w:pPr>
              <w:pStyle w:val="9"/>
              <w:bidi w:val="0"/>
              <w:rPr>
                <w:rFonts w:hint="default" w:ascii="宋体" w:hAnsi="宋体" w:cs="宋体"/>
                <w:color w:val="333333"/>
                <w:sz w:val="24"/>
                <w:shd w:val="clear" w:color="auto" w:fill="FFFFFF"/>
                <w:lang w:val="en-US" w:eastAsia="zh-CN"/>
              </w:rPr>
            </w:pPr>
            <w:r>
              <w:rPr>
                <w:rFonts w:hint="eastAsia" w:ascii="宋体" w:hAnsi="宋体" w:cs="宋体"/>
                <w:color w:val="333333"/>
                <w:sz w:val="24"/>
                <w:shd w:val="clear" w:color="auto" w:fill="FFFFFF"/>
                <w:lang w:eastAsia="zh-CN"/>
              </w:rPr>
              <w:t>赵俊锋</w:t>
            </w:r>
          </w:p>
        </w:tc>
        <w:tc>
          <w:tcPr>
            <w:tcW w:w="3864"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S011041000110192002428</w:t>
            </w:r>
          </w:p>
        </w:tc>
        <w:tc>
          <w:tcPr>
            <w:tcW w:w="1897"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030344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vMerge w:val="restart"/>
            <w:tcBorders>
              <w:tl2br w:val="nil"/>
              <w:tr2bl w:val="nil"/>
            </w:tcBorders>
            <w:shd w:val="clear" w:color="auto" w:fill="auto"/>
            <w:vAlign w:val="center"/>
          </w:tcPr>
          <w:p>
            <w:pPr>
              <w:pStyle w:val="9"/>
              <w:bidi w:val="0"/>
            </w:pPr>
            <w:r>
              <w:t>项目组成员</w:t>
            </w:r>
          </w:p>
        </w:tc>
        <w:tc>
          <w:tcPr>
            <w:tcW w:w="1443" w:type="dxa"/>
            <w:tcBorders>
              <w:tl2br w:val="nil"/>
              <w:tr2bl w:val="nil"/>
            </w:tcBorders>
            <w:shd w:val="clear" w:color="auto" w:fill="auto"/>
            <w:vAlign w:val="center"/>
          </w:tcPr>
          <w:p>
            <w:pPr>
              <w:pStyle w:val="9"/>
              <w:bidi w:val="0"/>
              <w:rPr>
                <w:rFonts w:hint="default" w:ascii="宋体" w:hAnsi="宋体" w:cs="宋体"/>
                <w:color w:val="333333"/>
                <w:sz w:val="24"/>
                <w:shd w:val="clear" w:color="auto" w:fill="FFFFFF"/>
                <w:lang w:val="en-US" w:eastAsia="zh-CN"/>
              </w:rPr>
            </w:pPr>
            <w:r>
              <w:rPr>
                <w:rFonts w:hint="eastAsia" w:ascii="宋体" w:hAnsi="宋体" w:cs="宋体"/>
                <w:color w:val="333333"/>
                <w:sz w:val="24"/>
                <w:shd w:val="clear" w:color="auto" w:fill="FFFFFF"/>
                <w:lang w:eastAsia="zh-CN"/>
              </w:rPr>
              <w:t>吕鹏涛</w:t>
            </w:r>
          </w:p>
        </w:tc>
        <w:tc>
          <w:tcPr>
            <w:tcW w:w="3864"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S011041000110193001847</w:t>
            </w:r>
          </w:p>
        </w:tc>
        <w:tc>
          <w:tcPr>
            <w:tcW w:w="1897"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038719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vMerge w:val="continue"/>
            <w:tcBorders>
              <w:tl2br w:val="nil"/>
              <w:tr2bl w:val="nil"/>
            </w:tcBorders>
            <w:shd w:val="clear" w:color="auto" w:fill="auto"/>
            <w:vAlign w:val="center"/>
          </w:tcPr>
          <w:p>
            <w:pPr>
              <w:pStyle w:val="9"/>
              <w:bidi w:val="0"/>
            </w:pPr>
          </w:p>
        </w:tc>
        <w:tc>
          <w:tcPr>
            <w:tcW w:w="1443" w:type="dxa"/>
            <w:tcBorders>
              <w:tl2br w:val="nil"/>
              <w:tr2bl w:val="nil"/>
            </w:tcBorders>
            <w:shd w:val="clear" w:color="auto" w:fill="auto"/>
            <w:vAlign w:val="center"/>
          </w:tcPr>
          <w:p>
            <w:pPr>
              <w:pStyle w:val="9"/>
              <w:bidi w:val="0"/>
              <w:rPr>
                <w:rFonts w:hint="default" w:ascii="宋体" w:hAnsi="宋体" w:cs="宋体"/>
                <w:color w:val="333333"/>
                <w:sz w:val="24"/>
                <w:shd w:val="clear" w:color="auto" w:fill="FFFFFF"/>
                <w:lang w:val="en-US" w:eastAsia="zh-CN"/>
              </w:rPr>
            </w:pPr>
            <w:r>
              <w:rPr>
                <w:rFonts w:hint="default" w:ascii="宋体" w:hAnsi="宋体" w:cs="宋体"/>
                <w:color w:val="333333"/>
                <w:sz w:val="24"/>
                <w:shd w:val="clear" w:color="auto" w:fill="FFFFFF"/>
                <w:lang w:val="en-US" w:eastAsia="zh-CN"/>
              </w:rPr>
              <w:t>陈武</w:t>
            </w:r>
            <w:r>
              <w:rPr>
                <w:rFonts w:hint="eastAsia" w:ascii="宋体" w:hAnsi="宋体" w:cs="宋体"/>
                <w:color w:val="333333"/>
                <w:sz w:val="24"/>
                <w:shd w:val="clear" w:color="auto" w:fill="FFFFFF"/>
                <w:lang w:val="en-US" w:eastAsia="zh-CN"/>
              </w:rPr>
              <w:t>斌</w:t>
            </w:r>
          </w:p>
        </w:tc>
        <w:tc>
          <w:tcPr>
            <w:tcW w:w="3864"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1100000000300371</w:t>
            </w:r>
          </w:p>
        </w:tc>
        <w:tc>
          <w:tcPr>
            <w:tcW w:w="1897"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vMerge w:val="continue"/>
            <w:tcBorders>
              <w:tl2br w:val="nil"/>
              <w:tr2bl w:val="nil"/>
            </w:tcBorders>
            <w:shd w:val="clear" w:color="auto" w:fill="auto"/>
            <w:vAlign w:val="center"/>
          </w:tcPr>
          <w:p>
            <w:pPr>
              <w:pStyle w:val="9"/>
              <w:bidi w:val="0"/>
            </w:pPr>
          </w:p>
        </w:tc>
        <w:tc>
          <w:tcPr>
            <w:tcW w:w="1443" w:type="dxa"/>
            <w:tcBorders>
              <w:tl2br w:val="nil"/>
              <w:tr2bl w:val="nil"/>
            </w:tcBorders>
            <w:shd w:val="clear" w:color="auto" w:fill="auto"/>
            <w:vAlign w:val="center"/>
          </w:tcPr>
          <w:p>
            <w:pPr>
              <w:pStyle w:val="9"/>
              <w:bidi w:val="0"/>
              <w:rPr>
                <w:rFonts w:hint="default" w:ascii="宋体" w:hAnsi="宋体" w:cs="宋体"/>
                <w:color w:val="333333"/>
                <w:sz w:val="24"/>
                <w:shd w:val="clear" w:color="auto" w:fill="FFFFFF"/>
                <w:lang w:val="en-US" w:eastAsia="zh-CN"/>
              </w:rPr>
            </w:pPr>
            <w:r>
              <w:rPr>
                <w:rFonts w:hint="default" w:ascii="宋体" w:hAnsi="宋体" w:cs="宋体"/>
                <w:color w:val="333333"/>
                <w:sz w:val="24"/>
                <w:shd w:val="clear" w:color="auto" w:fill="FFFFFF"/>
                <w:lang w:val="en-US" w:eastAsia="zh-CN"/>
              </w:rPr>
              <w:t>张晋慧</w:t>
            </w:r>
          </w:p>
        </w:tc>
        <w:tc>
          <w:tcPr>
            <w:tcW w:w="3864"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1100000000302946</w:t>
            </w:r>
          </w:p>
        </w:tc>
        <w:tc>
          <w:tcPr>
            <w:tcW w:w="1897"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020045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vMerge w:val="continue"/>
            <w:tcBorders>
              <w:tl2br w:val="nil"/>
              <w:tr2bl w:val="nil"/>
            </w:tcBorders>
            <w:shd w:val="clear" w:color="auto" w:fill="auto"/>
            <w:vAlign w:val="center"/>
          </w:tcPr>
          <w:p>
            <w:pPr>
              <w:pStyle w:val="9"/>
              <w:bidi w:val="0"/>
            </w:pPr>
          </w:p>
        </w:tc>
        <w:tc>
          <w:tcPr>
            <w:tcW w:w="1443" w:type="dxa"/>
            <w:tcBorders>
              <w:tl2br w:val="nil"/>
              <w:tr2bl w:val="nil"/>
            </w:tcBorders>
            <w:shd w:val="clear" w:color="auto" w:fill="auto"/>
            <w:vAlign w:val="center"/>
          </w:tcPr>
          <w:p>
            <w:pPr>
              <w:pStyle w:val="9"/>
              <w:bidi w:val="0"/>
              <w:rPr>
                <w:rFonts w:hint="default" w:ascii="宋体" w:hAnsi="宋体" w:cs="宋体"/>
                <w:color w:val="333333"/>
                <w:sz w:val="24"/>
                <w:shd w:val="clear" w:color="auto" w:fill="FFFFFF"/>
                <w:lang w:val="en-US" w:eastAsia="zh-CN"/>
              </w:rPr>
            </w:pPr>
            <w:r>
              <w:rPr>
                <w:rFonts w:hint="default" w:ascii="宋体" w:hAnsi="宋体" w:cs="宋体"/>
                <w:color w:val="333333"/>
                <w:sz w:val="24"/>
                <w:shd w:val="clear" w:color="auto" w:fill="FFFFFF"/>
                <w:lang w:val="en-US" w:eastAsia="zh-CN"/>
              </w:rPr>
              <w:t>李成超</w:t>
            </w:r>
          </w:p>
        </w:tc>
        <w:tc>
          <w:tcPr>
            <w:tcW w:w="3864"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1600000000301283</w:t>
            </w:r>
          </w:p>
        </w:tc>
        <w:tc>
          <w:tcPr>
            <w:tcW w:w="1897"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028550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vMerge w:val="continue"/>
            <w:tcBorders>
              <w:tl2br w:val="nil"/>
              <w:tr2bl w:val="nil"/>
            </w:tcBorders>
            <w:shd w:val="clear" w:color="auto" w:fill="auto"/>
            <w:vAlign w:val="center"/>
          </w:tcPr>
          <w:p>
            <w:pPr>
              <w:pStyle w:val="9"/>
              <w:bidi w:val="0"/>
            </w:pPr>
          </w:p>
        </w:tc>
        <w:tc>
          <w:tcPr>
            <w:tcW w:w="1443" w:type="dxa"/>
            <w:tcBorders>
              <w:tl2br w:val="nil"/>
              <w:tr2bl w:val="nil"/>
            </w:tcBorders>
            <w:shd w:val="clear" w:color="auto" w:fill="auto"/>
            <w:vAlign w:val="center"/>
          </w:tcPr>
          <w:p>
            <w:pPr>
              <w:pStyle w:val="9"/>
              <w:bidi w:val="0"/>
              <w:rPr>
                <w:rFonts w:hint="default" w:ascii="宋体" w:hAnsi="宋体" w:cs="宋体"/>
                <w:color w:val="333333"/>
                <w:sz w:val="24"/>
                <w:shd w:val="clear" w:color="auto" w:fill="FFFFFF"/>
                <w:lang w:val="en-US" w:eastAsia="zh-CN"/>
              </w:rPr>
            </w:pPr>
            <w:r>
              <w:rPr>
                <w:rFonts w:hint="eastAsia" w:ascii="宋体" w:hAnsi="宋体" w:cs="宋体"/>
                <w:color w:val="333333"/>
                <w:sz w:val="24"/>
                <w:shd w:val="clear" w:color="auto" w:fill="FFFFFF"/>
                <w:lang w:eastAsia="zh-CN"/>
              </w:rPr>
              <w:t>岳</w:t>
            </w:r>
            <w:r>
              <w:rPr>
                <w:rFonts w:hint="eastAsia" w:ascii="宋体" w:hAnsi="宋体" w:cs="宋体"/>
                <w:color w:val="333333"/>
                <w:sz w:val="24"/>
                <w:shd w:val="clear" w:color="auto" w:fill="FFFFFF"/>
                <w:lang w:val="en-US" w:eastAsia="zh-CN"/>
              </w:rPr>
              <w:t xml:space="preserve">  </w:t>
            </w:r>
            <w:r>
              <w:rPr>
                <w:rFonts w:hint="eastAsia" w:ascii="宋体" w:hAnsi="宋体" w:cs="宋体"/>
                <w:color w:val="333333"/>
                <w:sz w:val="24"/>
                <w:shd w:val="clear" w:color="auto" w:fill="FFFFFF"/>
                <w:lang w:eastAsia="zh-CN"/>
              </w:rPr>
              <w:t>强</w:t>
            </w:r>
          </w:p>
        </w:tc>
        <w:tc>
          <w:tcPr>
            <w:tcW w:w="3864"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0800000000102212</w:t>
            </w:r>
          </w:p>
        </w:tc>
        <w:tc>
          <w:tcPr>
            <w:tcW w:w="1897" w:type="dxa"/>
            <w:tcBorders>
              <w:tl2br w:val="nil"/>
              <w:tr2bl w:val="nil"/>
            </w:tcBorders>
            <w:shd w:val="clear" w:color="auto" w:fill="auto"/>
            <w:vAlign w:val="center"/>
          </w:tcPr>
          <w:p>
            <w:pPr>
              <w:pStyle w:val="9"/>
              <w:bidi w:val="0"/>
              <w:rPr>
                <w:rFonts w:hint="eastAsia" w:ascii="宋体" w:hAnsi="宋体" w:cs="宋体"/>
                <w:color w:val="333333"/>
                <w:sz w:val="24"/>
                <w:shd w:val="clear" w:color="auto" w:fill="FFFFFF"/>
                <w:lang w:eastAsia="zh-CN"/>
              </w:rPr>
            </w:pPr>
            <w:r>
              <w:rPr>
                <w:rFonts w:hint="eastAsia" w:ascii="宋体" w:hAnsi="宋体" w:cs="宋体"/>
                <w:color w:val="333333"/>
                <w:sz w:val="24"/>
                <w:shd w:val="clear" w:color="auto" w:fill="FFFFFF"/>
                <w:lang w:eastAsia="zh-CN"/>
              </w:rPr>
              <w:t>002352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技术专家</w:t>
            </w:r>
          </w:p>
        </w:tc>
        <w:tc>
          <w:tcPr>
            <w:tcW w:w="7204" w:type="dxa"/>
            <w:gridSpan w:val="3"/>
            <w:tcBorders>
              <w:tl2br w:val="nil"/>
              <w:tr2bl w:val="nil"/>
            </w:tcBorders>
            <w:shd w:val="clear" w:color="auto" w:fill="auto"/>
            <w:vAlign w:val="center"/>
          </w:tcPr>
          <w:p>
            <w:pPr>
              <w:pStyle w:val="9"/>
              <w:bidi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现场勘察人员及时间</w:t>
            </w:r>
          </w:p>
        </w:tc>
        <w:tc>
          <w:tcPr>
            <w:tcW w:w="7204" w:type="dxa"/>
            <w:gridSpan w:val="3"/>
            <w:tcBorders>
              <w:tl2br w:val="nil"/>
              <w:tr2bl w:val="nil"/>
            </w:tcBorders>
            <w:shd w:val="clear" w:color="auto" w:fill="auto"/>
            <w:vAlign w:val="center"/>
          </w:tcPr>
          <w:p>
            <w:pPr>
              <w:pStyle w:val="9"/>
              <w:bidi w:val="0"/>
              <w:rPr>
                <w:rFonts w:hint="default"/>
                <w:lang w:val="en-US" w:eastAsia="zh-CN"/>
              </w:rPr>
            </w:pPr>
            <w:r>
              <w:rPr>
                <w:rFonts w:hint="eastAsia" w:ascii="宋体" w:hAnsi="宋体" w:cs="宋体"/>
                <w:color w:val="333333"/>
                <w:sz w:val="24"/>
                <w:shd w:val="clear" w:color="auto" w:fill="FFFFFF"/>
                <w:lang w:eastAsia="zh-CN"/>
              </w:rPr>
              <w:t>赵俊锋</w:t>
            </w:r>
            <w:r>
              <w:rPr>
                <w:rFonts w:hint="eastAsia"/>
                <w:lang w:val="en-US" w:eastAsia="zh-CN"/>
              </w:rPr>
              <w:t>、</w:t>
            </w:r>
            <w:r>
              <w:rPr>
                <w:rFonts w:hint="eastAsia" w:ascii="宋体" w:hAnsi="宋体" w:cs="宋体"/>
                <w:color w:val="333333"/>
                <w:sz w:val="24"/>
                <w:shd w:val="clear" w:color="auto" w:fill="FFFFFF"/>
                <w:lang w:eastAsia="zh-CN"/>
              </w:rPr>
              <w:t>吕鹏涛</w:t>
            </w:r>
            <w:r>
              <w:rPr>
                <w:rFonts w:hint="eastAsia"/>
                <w:lang w:val="en-US" w:eastAsia="zh-CN"/>
              </w:rPr>
              <w:t xml:space="preserve"> 2023.8.10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rPr>
                <w:rFonts w:hint="default"/>
                <w:lang w:val="en-US" w:eastAsia="zh-CN"/>
              </w:rPr>
            </w:pPr>
            <w:r>
              <w:rPr>
                <w:rFonts w:hint="eastAsia"/>
                <w:lang w:val="en-US" w:eastAsia="zh-CN"/>
              </w:rPr>
              <w:t>现场核查的人员和时间</w:t>
            </w:r>
          </w:p>
        </w:tc>
        <w:tc>
          <w:tcPr>
            <w:tcW w:w="7204" w:type="dxa"/>
            <w:gridSpan w:val="3"/>
            <w:tcBorders>
              <w:tl2br w:val="nil"/>
              <w:tr2bl w:val="nil"/>
            </w:tcBorders>
            <w:shd w:val="clear" w:color="auto" w:fill="auto"/>
            <w:vAlign w:val="center"/>
          </w:tcPr>
          <w:p>
            <w:pPr>
              <w:pStyle w:val="9"/>
              <w:bidi w:val="0"/>
              <w:rPr>
                <w:rFonts w:hint="default"/>
                <w:lang w:val="en-US" w:eastAsia="zh-CN"/>
              </w:rPr>
            </w:pPr>
            <w:r>
              <w:rPr>
                <w:rFonts w:hint="eastAsia" w:ascii="宋体" w:hAnsi="宋体" w:cs="宋体"/>
                <w:color w:val="333333"/>
                <w:sz w:val="24"/>
                <w:shd w:val="clear" w:color="auto" w:fill="FFFFFF"/>
                <w:lang w:eastAsia="zh-CN"/>
              </w:rPr>
              <w:t>赵俊锋</w:t>
            </w:r>
            <w:r>
              <w:rPr>
                <w:rFonts w:hint="eastAsia"/>
                <w:lang w:val="en-US" w:eastAsia="zh-CN"/>
              </w:rPr>
              <w:t>、</w:t>
            </w:r>
            <w:r>
              <w:rPr>
                <w:rFonts w:hint="eastAsia" w:ascii="宋体" w:hAnsi="宋体" w:cs="宋体"/>
                <w:color w:val="333333"/>
                <w:sz w:val="24"/>
                <w:shd w:val="clear" w:color="auto" w:fill="FFFFFF"/>
                <w:lang w:eastAsia="zh-CN"/>
              </w:rPr>
              <w:t>吕鹏涛</w:t>
            </w:r>
            <w:r>
              <w:rPr>
                <w:rFonts w:hint="eastAsia"/>
                <w:lang w:val="en-US" w:eastAsia="zh-CN"/>
              </w:rPr>
              <w:t xml:space="preserve"> 2023.8.25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5" w:hRule="atLeast"/>
          <w:jc w:val="center"/>
        </w:trPr>
        <w:tc>
          <w:tcPr>
            <w:tcW w:w="2150" w:type="dxa"/>
            <w:tcBorders>
              <w:tl2br w:val="nil"/>
              <w:tr2bl w:val="nil"/>
            </w:tcBorders>
            <w:shd w:val="clear" w:color="auto" w:fill="auto"/>
            <w:vAlign w:val="center"/>
          </w:tcPr>
          <w:p>
            <w:pPr>
              <w:pStyle w:val="9"/>
              <w:bidi w:val="0"/>
            </w:pPr>
            <w:r>
              <w:t>项目简介</w:t>
            </w:r>
          </w:p>
        </w:tc>
        <w:tc>
          <w:tcPr>
            <w:tcW w:w="7204" w:type="dxa"/>
            <w:gridSpan w:val="3"/>
            <w:tcBorders>
              <w:tl2br w:val="nil"/>
              <w:tr2bl w:val="nil"/>
            </w:tcBorders>
            <w:shd w:val="clear" w:color="auto" w:fill="auto"/>
            <w:vAlign w:val="top"/>
          </w:tcPr>
          <w:p>
            <w:pPr>
              <w:pStyle w:val="9"/>
              <w:bidi w:val="0"/>
              <w:rPr>
                <w:rFonts w:hint="eastAsia"/>
                <w:sz w:val="24"/>
                <w:szCs w:val="24"/>
                <w:lang w:val="en-US" w:eastAsia="zh-CN"/>
              </w:rPr>
            </w:pPr>
            <w:r>
              <w:rPr>
                <w:rFonts w:hint="eastAsia"/>
                <w:sz w:val="24"/>
                <w:szCs w:val="24"/>
                <w:lang w:val="en-US" w:eastAsia="zh-CN"/>
              </w:rPr>
              <w:t>建设性质：</w:t>
            </w:r>
            <w:r>
              <w:rPr>
                <w:rFonts w:hint="eastAsia" w:ascii="Times New Roman" w:hAnsi="Times New Roman"/>
                <w:sz w:val="24"/>
                <w:szCs w:val="24"/>
              </w:rPr>
              <w:t>新建</w:t>
            </w:r>
          </w:p>
          <w:p>
            <w:pPr>
              <w:pStyle w:val="9"/>
              <w:bidi w:val="0"/>
              <w:rPr>
                <w:sz w:val="24"/>
                <w:szCs w:val="24"/>
              </w:rPr>
            </w:pPr>
            <w:r>
              <w:rPr>
                <w:rFonts w:hint="eastAsia"/>
                <w:sz w:val="24"/>
                <w:szCs w:val="24"/>
                <w:lang w:val="en-US" w:eastAsia="zh-CN"/>
              </w:rPr>
              <w:t>建设规模及内容为：</w:t>
            </w:r>
            <w:r>
              <w:rPr>
                <w:sz w:val="24"/>
                <w:szCs w:val="24"/>
              </w:rPr>
              <w:t>项目占地面积为3597.13m</w:t>
            </w:r>
            <w:r>
              <w:rPr>
                <w:sz w:val="24"/>
                <w:szCs w:val="24"/>
                <w:vertAlign w:val="superscript"/>
              </w:rPr>
              <w:t>2</w:t>
            </w:r>
            <w:r>
              <w:rPr>
                <w:sz w:val="24"/>
                <w:szCs w:val="24"/>
              </w:rPr>
              <w:t>（约5.40亩），建设内容为加油充电站，一期建设内容：站房面积209.65m</w:t>
            </w:r>
            <w:r>
              <w:rPr>
                <w:sz w:val="24"/>
                <w:szCs w:val="24"/>
                <w:vertAlign w:val="superscript"/>
              </w:rPr>
              <w:t>2</w:t>
            </w:r>
            <w:r>
              <w:rPr>
                <w:sz w:val="24"/>
                <w:szCs w:val="24"/>
              </w:rPr>
              <w:t>；</w:t>
            </w:r>
            <w:r>
              <w:rPr>
                <w:rFonts w:hint="eastAsia"/>
                <w:sz w:val="24"/>
                <w:szCs w:val="24"/>
              </w:rPr>
              <w:t>罩棚面积162.07</w:t>
            </w:r>
            <w:r>
              <w:rPr>
                <w:sz w:val="24"/>
                <w:szCs w:val="24"/>
              </w:rPr>
              <w:t>m</w:t>
            </w:r>
            <w:r>
              <w:rPr>
                <w:sz w:val="24"/>
                <w:szCs w:val="24"/>
                <w:vertAlign w:val="superscript"/>
              </w:rPr>
              <w:t>2</w:t>
            </w:r>
            <w:r>
              <w:rPr>
                <w:rFonts w:hint="eastAsia"/>
                <w:sz w:val="24"/>
                <w:szCs w:val="24"/>
              </w:rPr>
              <w:t>；</w:t>
            </w:r>
            <w:r>
              <w:rPr>
                <w:sz w:val="24"/>
                <w:szCs w:val="24"/>
              </w:rPr>
              <w:t>加油岛3座，包含3台四枪四油品潜油泵型加油机；设置一座承重罐区，四具30m</w:t>
            </w:r>
            <w:r>
              <w:rPr>
                <w:sz w:val="24"/>
                <w:szCs w:val="24"/>
                <w:vertAlign w:val="superscript"/>
              </w:rPr>
              <w:t>3</w:t>
            </w:r>
            <w:r>
              <w:rPr>
                <w:sz w:val="24"/>
                <w:szCs w:val="24"/>
              </w:rPr>
              <w:t>FF双层承重油罐（92#、95#、98#、柴油）</w:t>
            </w:r>
            <w:r>
              <w:rPr>
                <w:rFonts w:hint="eastAsia"/>
                <w:sz w:val="24"/>
                <w:szCs w:val="24"/>
              </w:rPr>
              <w:t>；</w:t>
            </w:r>
            <w:r>
              <w:rPr>
                <w:sz w:val="24"/>
                <w:szCs w:val="24"/>
              </w:rPr>
              <w:t>配套充电车棚面积为108.5m</w:t>
            </w:r>
            <w:r>
              <w:rPr>
                <w:sz w:val="24"/>
                <w:szCs w:val="24"/>
                <w:vertAlign w:val="superscript"/>
              </w:rPr>
              <w:t>2</w:t>
            </w:r>
            <w:r>
              <w:rPr>
                <w:sz w:val="24"/>
                <w:szCs w:val="24"/>
              </w:rPr>
              <w:t>；充电桩4个，共设8个充电专用车位</w:t>
            </w:r>
            <w:r>
              <w:rPr>
                <w:rFonts w:hint="eastAsia"/>
                <w:sz w:val="24"/>
                <w:szCs w:val="24"/>
              </w:rPr>
              <w:t>，</w:t>
            </w:r>
            <w:r>
              <w:rPr>
                <w:sz w:val="24"/>
                <w:szCs w:val="24"/>
              </w:rPr>
              <w:t>汽服区洗车设备1个</w:t>
            </w:r>
            <w:r>
              <w:rPr>
                <w:rFonts w:hint="eastAsia"/>
                <w:sz w:val="24"/>
                <w:szCs w:val="24"/>
              </w:rPr>
              <w:t>；以及其它配套设施等</w:t>
            </w:r>
            <w:r>
              <w:rPr>
                <w:sz w:val="24"/>
                <w:szCs w:val="24"/>
              </w:rPr>
              <w:t>。二期建设内容：站房面积为593.89m</w:t>
            </w:r>
            <w:r>
              <w:rPr>
                <w:sz w:val="24"/>
                <w:szCs w:val="24"/>
                <w:vertAlign w:val="superscript"/>
              </w:rPr>
              <w:t>2</w:t>
            </w:r>
            <w:r>
              <w:rPr>
                <w:sz w:val="24"/>
                <w:szCs w:val="24"/>
              </w:rPr>
              <w:t>。</w:t>
            </w:r>
          </w:p>
          <w:p>
            <w:pPr>
              <w:pStyle w:val="9"/>
              <w:bidi w:val="0"/>
              <w:rPr>
                <w:rFonts w:hint="eastAsia" w:eastAsia="宋体"/>
                <w:sz w:val="24"/>
                <w:szCs w:val="24"/>
                <w:lang w:eastAsia="zh-CN"/>
              </w:rPr>
            </w:pPr>
            <w:r>
              <w:rPr>
                <w:sz w:val="24"/>
                <w:szCs w:val="24"/>
              </w:rPr>
              <w:t>按照《汽车加油加气加氢站技术标准》（GB50156-2021）的规定计算得其油罐储油总容积为105m</w:t>
            </w:r>
            <w:r>
              <w:rPr>
                <w:sz w:val="24"/>
                <w:szCs w:val="24"/>
                <w:vertAlign w:val="superscript"/>
              </w:rPr>
              <w:t>3</w:t>
            </w:r>
            <w:r>
              <w:rPr>
                <w:sz w:val="24"/>
                <w:szCs w:val="24"/>
              </w:rPr>
              <w:t>（柴油罐容积折半计入油罐总容积），加油站等级为二级</w:t>
            </w:r>
            <w:r>
              <w:rPr>
                <w:rFonts w:ascii="Times New Roman" w:hAnsi="Times New Roman"/>
                <w:spacing w:val="-1"/>
                <w:sz w:val="24"/>
                <w:szCs w:val="24"/>
              </w:rPr>
              <w:t>。</w:t>
            </w:r>
          </w:p>
          <w:p>
            <w:pPr>
              <w:pStyle w:val="9"/>
              <w:bidi w:val="0"/>
            </w:pPr>
            <w:r>
              <w:rPr>
                <w:rFonts w:hint="eastAsia"/>
                <w:sz w:val="24"/>
                <w:szCs w:val="24"/>
                <w:lang w:eastAsia="zh-CN"/>
              </w:rPr>
              <w:t>评价结论</w:t>
            </w:r>
            <w:r>
              <w:rPr>
                <w:rFonts w:hint="eastAsia"/>
                <w:b w:val="0"/>
                <w:bCs w:val="0"/>
                <w:sz w:val="24"/>
                <w:szCs w:val="24"/>
                <w:lang w:eastAsia="zh-CN"/>
              </w:rPr>
              <w:t>：</w:t>
            </w:r>
            <w:r>
              <w:rPr>
                <w:rFonts w:hint="eastAsia"/>
                <w:b w:val="0"/>
                <w:bCs w:val="0"/>
                <w:sz w:val="24"/>
                <w:szCs w:val="24"/>
              </w:rPr>
              <w:t>西咸新区秦汉新城中油氢能科技有限公司沣泾大道加油站项目</w:t>
            </w:r>
            <w:r>
              <w:rPr>
                <w:b w:val="0"/>
                <w:bCs w:val="0"/>
                <w:sz w:val="24"/>
                <w:szCs w:val="24"/>
              </w:rPr>
              <w:t>在</w:t>
            </w:r>
            <w:r>
              <w:rPr>
                <w:rFonts w:hint="eastAsia"/>
                <w:b w:val="0"/>
                <w:bCs w:val="0"/>
                <w:sz w:val="24"/>
                <w:szCs w:val="24"/>
              </w:rPr>
              <w:t>切</w:t>
            </w:r>
            <w:r>
              <w:rPr>
                <w:b w:val="0"/>
                <w:bCs w:val="0"/>
                <w:sz w:val="24"/>
                <w:szCs w:val="24"/>
              </w:rPr>
              <w:t>实落实</w:t>
            </w:r>
            <w:r>
              <w:rPr>
                <w:rFonts w:hint="eastAsia"/>
                <w:b w:val="0"/>
                <w:bCs w:val="0"/>
                <w:sz w:val="24"/>
                <w:szCs w:val="24"/>
              </w:rPr>
              <w:t>建设方案及</w:t>
            </w:r>
            <w:r>
              <w:rPr>
                <w:b w:val="0"/>
                <w:bCs w:val="0"/>
                <w:sz w:val="24"/>
                <w:szCs w:val="24"/>
              </w:rPr>
              <w:t>本报告中提出的各项安全对策措施及建议的情况下，</w:t>
            </w:r>
            <w:r>
              <w:rPr>
                <w:rFonts w:hint="eastAsia"/>
                <w:b w:val="0"/>
                <w:bCs w:val="0"/>
                <w:sz w:val="24"/>
                <w:szCs w:val="24"/>
              </w:rPr>
              <w:t>本项目固有危险有害程度和风险程度可以控制在可接受范围内。</w:t>
            </w:r>
            <w:r>
              <w:rPr>
                <w:b w:val="0"/>
                <w:bCs w:val="0"/>
                <w:sz w:val="24"/>
                <w:szCs w:val="24"/>
              </w:rPr>
              <w:t>从安全角度能够满足国家现行有关法律法规、标准、规范的要求，建设</w:t>
            </w:r>
            <w:r>
              <w:rPr>
                <w:rFonts w:hint="eastAsia"/>
                <w:b w:val="0"/>
                <w:bCs w:val="0"/>
                <w:sz w:val="24"/>
                <w:szCs w:val="24"/>
              </w:rPr>
              <w:t>项目</w:t>
            </w:r>
            <w:r>
              <w:rPr>
                <w:b w:val="0"/>
                <w:bCs w:val="0"/>
                <w:sz w:val="24"/>
                <w:szCs w:val="24"/>
              </w:rPr>
              <w:t>是可行的</w:t>
            </w:r>
            <w:r>
              <w:rPr>
                <w:rFonts w:hint="eastAsia"/>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现场照片</w:t>
            </w:r>
          </w:p>
        </w:tc>
        <w:tc>
          <w:tcPr>
            <w:tcW w:w="7204" w:type="dxa"/>
            <w:gridSpan w:val="3"/>
            <w:tcBorders>
              <w:tl2br w:val="nil"/>
              <w:tr2bl w:val="nil"/>
            </w:tcBorders>
            <w:shd w:val="clear" w:color="auto" w:fill="auto"/>
            <w:vAlign w:val="top"/>
          </w:tcPr>
          <w:p>
            <w:pPr>
              <w:bidi w:val="0"/>
              <w:rPr>
                <w:rFonts w:hint="default"/>
                <w:lang w:val="en-US" w:eastAsia="zh-CN"/>
              </w:rPr>
            </w:pPr>
            <w:bookmarkStart w:id="1" w:name="_GoBack"/>
            <w:r>
              <w:rPr>
                <w:rFonts w:hint="default"/>
                <w:lang w:val="en-US" w:eastAsia="zh-CN"/>
              </w:rPr>
              <w:drawing>
                <wp:inline distT="0" distB="0" distL="114300" distR="114300">
                  <wp:extent cx="4557395" cy="3062605"/>
                  <wp:effectExtent l="0" t="0" r="14605" b="4445"/>
                  <wp:docPr id="1" name="图片 1" descr="微信图片_2023082510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25105756"/>
                          <pic:cNvPicPr>
                            <a:picLocks noChangeAspect="1"/>
                          </pic:cNvPicPr>
                        </pic:nvPicPr>
                        <pic:blipFill>
                          <a:blip r:embed="rId4"/>
                          <a:srcRect/>
                          <a:stretch>
                            <a:fillRect/>
                          </a:stretch>
                        </pic:blipFill>
                        <pic:spPr>
                          <a:xfrm>
                            <a:off x="0" y="0"/>
                            <a:ext cx="4557395" cy="3062605"/>
                          </a:xfrm>
                          <a:prstGeom prst="rect">
                            <a:avLst/>
                          </a:prstGeom>
                        </pic:spPr>
                      </pic:pic>
                    </a:graphicData>
                  </a:graphic>
                </wp:inline>
              </w:drawing>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被评价单位信息反馈情况</w:t>
            </w:r>
          </w:p>
        </w:tc>
        <w:tc>
          <w:tcPr>
            <w:tcW w:w="7204" w:type="dxa"/>
            <w:gridSpan w:val="3"/>
            <w:tcBorders>
              <w:tl2br w:val="nil"/>
              <w:tr2bl w:val="nil"/>
            </w:tcBorders>
            <w:shd w:val="clear" w:color="auto" w:fill="auto"/>
            <w:vAlign w:val="center"/>
          </w:tcPr>
          <w:p>
            <w:pPr>
              <w:pStyle w:val="9"/>
              <w:bidi w:val="0"/>
            </w:pPr>
            <w:r>
              <w:t>满意</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000000"/>
    <w:rsid w:val="0BDD3E0A"/>
    <w:rsid w:val="0C3A0DA3"/>
    <w:rsid w:val="0D787B10"/>
    <w:rsid w:val="11414B19"/>
    <w:rsid w:val="12C94969"/>
    <w:rsid w:val="1FF534DE"/>
    <w:rsid w:val="266806D5"/>
    <w:rsid w:val="4C737144"/>
    <w:rsid w:val="78476BC3"/>
    <w:rsid w:val="790E1C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120" w:line="240" w:lineRule="auto"/>
      <w:ind w:left="420" w:leftChars="200" w:firstLine="420"/>
    </w:pPr>
    <w:rPr>
      <w:rFonts w:ascii="Times New Roman" w:hAnsi="Times New Roman"/>
      <w:sz w:val="21"/>
    </w:rPr>
  </w:style>
  <w:style w:type="paragraph" w:styleId="3">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4">
    <w:name w:val="Body Text"/>
    <w:basedOn w:val="1"/>
    <w:next w:val="5"/>
    <w:qFormat/>
    <w:uiPriority w:val="0"/>
    <w:pPr>
      <w:spacing w:before="54"/>
      <w:ind w:left="120"/>
    </w:pPr>
    <w:rPr>
      <w:rFonts w:hint="eastAsia" w:ascii="宋体" w:hAnsi="宋体"/>
      <w:sz w:val="28"/>
    </w:rPr>
  </w:style>
  <w:style w:type="paragraph" w:customStyle="1" w:styleId="5">
    <w:name w:val="xl27"/>
    <w:basedOn w:val="1"/>
    <w:qFormat/>
    <w:uiPriority w:val="0"/>
    <w:pPr>
      <w:widowControl/>
      <w:spacing w:before="100" w:beforeAutospacing="1" w:after="100" w:afterAutospacing="1"/>
      <w:jc w:val="center"/>
    </w:pPr>
    <w:rPr>
      <w:rFonts w:ascii="宋体" w:hAnsi="宋体"/>
      <w:kern w:val="0"/>
      <w:sz w:val="24"/>
      <w:szCs w:val="24"/>
    </w:rPr>
  </w:style>
  <w:style w:type="paragraph" w:styleId="6">
    <w:name w:val="Body Text Indent"/>
    <w:basedOn w:val="1"/>
    <w:next w:val="1"/>
    <w:qFormat/>
    <w:uiPriority w:val="0"/>
    <w:pPr>
      <w:spacing w:line="360" w:lineRule="auto"/>
      <w:ind w:firstLine="480" w:firstLineChars="200"/>
    </w:pPr>
    <w:rPr>
      <w:rFonts w:ascii="宋体" w:hAnsi="宋体"/>
      <w:sz w:val="24"/>
    </w:rPr>
  </w:style>
  <w:style w:type="paragraph" w:customStyle="1" w:styleId="9">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10">
    <w:name w:val="文本正文"/>
    <w:basedOn w:val="1"/>
    <w:qFormat/>
    <w:uiPriority w:val="0"/>
    <w:pPr>
      <w:spacing w:line="360" w:lineRule="auto"/>
      <w:ind w:firstLine="560" w:firstLineChars="200"/>
    </w:pPr>
    <w:rPr>
      <w:rFonts w:hAnsi="宋体"/>
      <w:kern w:val="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533</Words>
  <Characters>753</Characters>
  <Lines>0</Lines>
  <Paragraphs>0</Paragraphs>
  <TotalTime>0</TotalTime>
  <ScaleCrop>false</ScaleCrop>
  <LinksUpToDate>false</LinksUpToDate>
  <CharactersWithSpaces>757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2023-04-04T06:38:00Z</dcterms:created>
  <dc:creator>Administrator</dc:creator>
  <cp:lastModifiedBy>叶子</cp:lastModifiedBy>
  <dcterms:modified xsi:type="dcterms:W3CDTF">2024-08-15T05:02:09Z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B4226D91D99B4F5BA51ED5DAE4A6B9AF_13</vt:lpwstr>
  </property>
</Properties>
</file>