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5"/>
        <w:gridCol w:w="1339"/>
        <w:gridCol w:w="4766"/>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325" w:type="dxa"/>
            <w:tcBorders>
              <w:tl2br w:val="nil"/>
              <w:tr2bl w:val="nil"/>
            </w:tcBorders>
            <w:shd w:val="clear" w:color="auto" w:fill="auto"/>
            <w:vAlign w:val="center"/>
          </w:tcPr>
          <w:p>
            <w:pPr>
              <w:pStyle w:val="23"/>
            </w:pPr>
            <w:r>
              <w:t>项目名称</w:t>
            </w:r>
          </w:p>
        </w:tc>
        <w:tc>
          <w:tcPr>
            <w:tcW w:w="8029" w:type="dxa"/>
            <w:gridSpan w:val="3"/>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7" w:beforeLines="50"/>
              <w:jc w:val="center"/>
              <w:textAlignment w:val="auto"/>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内黄县梁庄供销社加油站</w:t>
            </w:r>
            <w:r>
              <w:rPr>
                <w:rFonts w:hint="default" w:ascii="宋体" w:hAnsi="宋体" w:eastAsia="宋体" w:cs="Times New Roman"/>
                <w:kern w:val="0"/>
                <w:sz w:val="24"/>
                <w:szCs w:val="20"/>
                <w:lang w:val="en-US" w:eastAsia="zh-CN" w:bidi="ar-SA"/>
              </w:rPr>
              <w:t>罐容扩建项目</w:t>
            </w:r>
          </w:p>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pPr>
            <w:r>
              <w:rPr>
                <w:rFonts w:hint="default" w:ascii="宋体" w:hAnsi="宋体" w:eastAsia="宋体" w:cs="Times New Roman"/>
                <w:kern w:val="0"/>
                <w:sz w:val="24"/>
                <w:szCs w:val="20"/>
                <w:lang w:val="en-US" w:eastAsia="zh-CN" w:bidi="ar-SA"/>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r>
              <w:t>完成时间</w:t>
            </w:r>
          </w:p>
        </w:tc>
        <w:tc>
          <w:tcPr>
            <w:tcW w:w="8029" w:type="dxa"/>
            <w:gridSpan w:val="3"/>
            <w:tcBorders>
              <w:tl2br w:val="nil"/>
              <w:tr2bl w:val="nil"/>
            </w:tcBorders>
            <w:shd w:val="clear" w:color="auto" w:fill="auto"/>
            <w:vAlign w:val="center"/>
          </w:tcPr>
          <w:p>
            <w:pPr>
              <w:widowControl/>
              <w:spacing w:after="150"/>
              <w:jc w:val="center"/>
              <w:rPr>
                <w:rFonts w:hint="default"/>
                <w:lang w:val="en-US"/>
              </w:rPr>
            </w:pPr>
            <w:r>
              <w:rPr>
                <w:rFonts w:hint="eastAsia" w:ascii="宋体" w:hAnsi="宋体" w:cs="宋体"/>
                <w:sz w:val="24"/>
                <w:szCs w:val="24"/>
                <w:lang w:val="en-US" w:eastAsia="zh-CN"/>
              </w:rPr>
              <w:t>2024年04月23日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9354" w:type="dxa"/>
            <w:gridSpan w:val="4"/>
            <w:tcBorders>
              <w:tl2br w:val="nil"/>
              <w:tr2bl w:val="nil"/>
            </w:tcBorders>
            <w:shd w:val="clear" w:color="auto" w:fill="auto"/>
            <w:vAlign w:val="center"/>
          </w:tcPr>
          <w:p>
            <w:pPr>
              <w:pStyle w:val="23"/>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pStyle w:val="23"/>
              <w:jc w:val="center"/>
            </w:pPr>
            <w:r>
              <w:t>姓名</w:t>
            </w:r>
          </w:p>
        </w:tc>
        <w:tc>
          <w:tcPr>
            <w:tcW w:w="4766" w:type="dxa"/>
            <w:tcBorders>
              <w:tl2br w:val="nil"/>
              <w:tr2bl w:val="nil"/>
            </w:tcBorders>
            <w:shd w:val="clear" w:color="auto" w:fill="auto"/>
            <w:vAlign w:val="center"/>
          </w:tcPr>
          <w:p>
            <w:pPr>
              <w:pStyle w:val="23"/>
              <w:jc w:val="center"/>
            </w:pPr>
            <w:r>
              <w:t>资格证书号</w:t>
            </w:r>
          </w:p>
        </w:tc>
        <w:tc>
          <w:tcPr>
            <w:tcW w:w="1924" w:type="dxa"/>
            <w:tcBorders>
              <w:tl2br w:val="nil"/>
              <w:tr2bl w:val="nil"/>
            </w:tcBorders>
            <w:shd w:val="clear" w:color="auto" w:fill="auto"/>
            <w:vAlign w:val="center"/>
          </w:tcPr>
          <w:p>
            <w:pPr>
              <w:pStyle w:val="23"/>
              <w:jc w:val="cente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1325" w:type="dxa"/>
            <w:tcBorders>
              <w:tl2br w:val="nil"/>
              <w:tr2bl w:val="nil"/>
            </w:tcBorders>
            <w:shd w:val="clear" w:color="auto" w:fill="auto"/>
            <w:vAlign w:val="center"/>
          </w:tcPr>
          <w:p>
            <w:pPr>
              <w:pStyle w:val="23"/>
            </w:pPr>
            <w:r>
              <w:t>项目负责人</w:t>
            </w: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王海龙</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1600000000200965</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030233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1325" w:type="dxa"/>
            <w:vMerge w:val="restart"/>
            <w:tcBorders>
              <w:tl2br w:val="nil"/>
              <w:tr2bl w:val="nil"/>
            </w:tcBorders>
            <w:shd w:val="clear" w:color="auto" w:fill="auto"/>
            <w:vAlign w:val="center"/>
          </w:tcPr>
          <w:p>
            <w:pPr>
              <w:pStyle w:val="23"/>
            </w:pPr>
            <w:r>
              <w:t>项目组成员</w:t>
            </w: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陈武斌</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1100000000300371</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eastAsia" w:cs="Times New Roman"/>
                <w:sz w:val="24"/>
                <w:lang w:val="en-US" w:eastAsia="zh-CN"/>
              </w:rPr>
              <w:t>岳强</w:t>
            </w:r>
          </w:p>
        </w:tc>
        <w:tc>
          <w:tcPr>
            <w:tcW w:w="4766"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default" w:ascii="Times New Roman" w:hAnsi="Times New Roman" w:cs="Times New Roman"/>
                <w:sz w:val="24"/>
                <w:lang w:val="en-US" w:eastAsia="zh-CN"/>
              </w:rPr>
              <w:t>0800000000102212</w:t>
            </w:r>
          </w:p>
        </w:tc>
        <w:tc>
          <w:tcPr>
            <w:tcW w:w="1924"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申文杰</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S011041000110202001639</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042459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sz w:val="24"/>
                <w:lang w:val="en-US" w:eastAsia="zh-CN"/>
              </w:rPr>
            </w:pPr>
            <w:r>
              <w:rPr>
                <w:rFonts w:hint="eastAsia" w:cs="Times New Roman"/>
                <w:sz w:val="24"/>
                <w:lang w:val="en-US" w:eastAsia="zh-CN"/>
              </w:rPr>
              <w:t>韦根远</w:t>
            </w:r>
          </w:p>
        </w:tc>
        <w:tc>
          <w:tcPr>
            <w:tcW w:w="4766" w:type="dxa"/>
            <w:tcBorders>
              <w:tl2br w:val="nil"/>
              <w:tr2bl w:val="nil"/>
            </w:tcBorders>
            <w:shd w:val="clear" w:color="auto" w:fill="auto"/>
            <w:vAlign w:val="center"/>
          </w:tcPr>
          <w:p>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S011044000110191001083</w:t>
            </w:r>
          </w:p>
        </w:tc>
        <w:tc>
          <w:tcPr>
            <w:tcW w:w="1924" w:type="dxa"/>
            <w:tcBorders>
              <w:tl2br w:val="nil"/>
              <w:tr2bl w:val="nil"/>
            </w:tcBorders>
            <w:shd w:val="clear" w:color="auto" w:fill="auto"/>
            <w:vAlign w:val="center"/>
          </w:tcPr>
          <w:p>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1325" w:type="dxa"/>
            <w:tcBorders>
              <w:tl2br w:val="nil"/>
              <w:tr2bl w:val="nil"/>
            </w:tcBorders>
            <w:shd w:val="clear" w:color="auto" w:fill="auto"/>
            <w:vAlign w:val="center"/>
          </w:tcPr>
          <w:p>
            <w:pPr>
              <w:pStyle w:val="23"/>
            </w:pPr>
            <w:r>
              <w:t>技术专家</w:t>
            </w:r>
          </w:p>
        </w:tc>
        <w:tc>
          <w:tcPr>
            <w:tcW w:w="8029" w:type="dxa"/>
            <w:gridSpan w:val="3"/>
            <w:tcBorders>
              <w:tl2br w:val="nil"/>
              <w:tr2bl w:val="nil"/>
            </w:tcBorders>
            <w:shd w:val="clear" w:color="auto" w:fill="auto"/>
            <w:vAlign w:val="center"/>
          </w:tcPr>
          <w:p>
            <w:pPr>
              <w:pStyle w:val="2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r>
              <w:t>现场勘察人员及时间</w:t>
            </w:r>
          </w:p>
        </w:tc>
        <w:tc>
          <w:tcPr>
            <w:tcW w:w="8029" w:type="dxa"/>
            <w:gridSpan w:val="3"/>
            <w:tcBorders>
              <w:tl2br w:val="nil"/>
              <w:tr2bl w:val="nil"/>
            </w:tcBorders>
            <w:shd w:val="clear" w:color="auto" w:fill="auto"/>
            <w:vAlign w:val="center"/>
          </w:tcPr>
          <w:p>
            <w:pPr>
              <w:widowControl/>
              <w:spacing w:after="150"/>
              <w:jc w:val="both"/>
            </w:pPr>
            <w:r>
              <w:rPr>
                <w:rFonts w:hint="eastAsia" w:ascii="宋体" w:hAnsi="宋体" w:cs="宋体"/>
                <w:sz w:val="24"/>
                <w:szCs w:val="24"/>
                <w:lang w:val="en-US" w:eastAsia="zh-CN"/>
              </w:rPr>
              <w:t>王海龙、申文杰；2024年03月 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25" w:type="dxa"/>
            <w:tcBorders>
              <w:tl2br w:val="nil"/>
              <w:tr2bl w:val="nil"/>
            </w:tcBorders>
            <w:shd w:val="clear" w:color="auto" w:fill="auto"/>
            <w:vAlign w:val="center"/>
          </w:tcPr>
          <w:p>
            <w:pPr>
              <w:pStyle w:val="23"/>
            </w:pPr>
            <w:r>
              <w:rPr>
                <w:rFonts w:hint="eastAsia"/>
              </w:rPr>
              <w:t>现场核查的人员和时间</w:t>
            </w:r>
          </w:p>
        </w:tc>
        <w:tc>
          <w:tcPr>
            <w:tcW w:w="8029" w:type="dxa"/>
            <w:gridSpan w:val="3"/>
            <w:tcBorders>
              <w:tl2br w:val="nil"/>
              <w:tr2bl w:val="nil"/>
            </w:tcBorders>
            <w:shd w:val="clear" w:color="auto" w:fill="auto"/>
            <w:vAlign w:val="center"/>
          </w:tcPr>
          <w:p>
            <w:pPr>
              <w:widowControl/>
              <w:spacing w:after="150"/>
              <w:jc w:val="both"/>
              <w:rPr>
                <w:rFonts w:hint="default" w:eastAsia="宋体"/>
                <w:lang w:val="en-US" w:eastAsia="zh-CN"/>
              </w:rPr>
            </w:pP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4" w:hRule="atLeast"/>
          <w:jc w:val="center"/>
        </w:trPr>
        <w:tc>
          <w:tcPr>
            <w:tcW w:w="1325" w:type="dxa"/>
            <w:tcBorders>
              <w:tl2br w:val="nil"/>
              <w:tr2bl w:val="nil"/>
            </w:tcBorders>
            <w:shd w:val="clear" w:color="auto" w:fill="auto"/>
            <w:vAlign w:val="center"/>
          </w:tcPr>
          <w:p>
            <w:pPr>
              <w:pStyle w:val="23"/>
            </w:pPr>
            <w:r>
              <w:t>项目简介</w:t>
            </w:r>
          </w:p>
        </w:tc>
        <w:tc>
          <w:tcPr>
            <w:tcW w:w="8029" w:type="dxa"/>
            <w:gridSpan w:val="3"/>
            <w:tcBorders>
              <w:tl2br w:val="nil"/>
              <w:tr2bl w:val="nil"/>
            </w:tcBorders>
            <w:shd w:val="clear" w:color="auto" w:fill="auto"/>
          </w:tcPr>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内黄县梁庄供销社加油站位于内黄县梁庄镇梁庄集，统一社会信用代码：9141052773740232X7；企业类型为：内资企业法人分支机构（非法人）；负责人：马献民；经营范围为：汽油、柴油、煤油。该加油站持有</w:t>
            </w:r>
            <w:r>
              <w:rPr>
                <w:rFonts w:hint="default" w:ascii="宋体" w:hAnsi="宋体" w:eastAsia="宋体" w:cs="Times New Roman"/>
                <w:kern w:val="0"/>
                <w:sz w:val="24"/>
                <w:szCs w:val="20"/>
                <w:lang w:val="en-US" w:eastAsia="zh-CN" w:bidi="ar-SA"/>
              </w:rPr>
              <w:t>危险化学品经营许可证</w:t>
            </w:r>
            <w:r>
              <w:rPr>
                <w:rFonts w:hint="eastAsia" w:ascii="宋体" w:hAnsi="宋体" w:eastAsia="宋体" w:cs="Times New Roman"/>
                <w:kern w:val="0"/>
                <w:sz w:val="24"/>
                <w:szCs w:val="20"/>
                <w:lang w:val="en-US" w:eastAsia="zh-CN" w:bidi="ar-SA"/>
              </w:rPr>
              <w:t>，该加油站用地面积为1600.5m2，建筑面积为231m2；加油站装置包括有：埋地敷设3个SF双层储油罐，其中，15m³柴油罐1个、25m³汽油罐2个，油罐总容积57.5m3（柴油折半计入）；加油区设置2台加油机，其中1台四枪（汽油/柴油）加油机，1台四枪汽油加油机。根据《汽车加油加气加氢站技术标准》GB50156-2021加油站等级划分，该加油站为三级加油站。</w:t>
            </w:r>
          </w:p>
          <w:p>
            <w:pPr>
              <w:spacing w:line="520" w:lineRule="exact"/>
              <w:ind w:firstLine="56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由于该加油站储油量不能满足市场需求，根据实际情况结合发展需求，该加油站决定经营规模扩大，在原址进行罐容扩建，加油站原平面布局不变。</w:t>
            </w:r>
          </w:p>
          <w:p>
            <w:pPr>
              <w:spacing w:line="520" w:lineRule="exact"/>
              <w:jc w:val="left"/>
              <w:rPr>
                <w:rFonts w:hint="default" w:ascii="Times New Roman" w:hAnsi="Times New Roman" w:cs="Times New Roman"/>
                <w:color w:val="auto"/>
                <w:sz w:val="28"/>
                <w:szCs w:val="28"/>
                <w:lang w:val="en-US" w:eastAsia="zh-CN" w:bidi="ar"/>
              </w:rPr>
            </w:pPr>
            <w:r>
              <w:rPr>
                <w:rFonts w:hint="eastAsia" w:ascii="宋体" w:hAnsi="宋体" w:eastAsia="宋体" w:cs="Times New Roman"/>
                <w:kern w:val="0"/>
                <w:sz w:val="24"/>
                <w:szCs w:val="20"/>
                <w:lang w:val="en-US" w:eastAsia="zh-CN" w:bidi="ar-SA"/>
              </w:rPr>
              <w:t>内黄县梁庄供销社加油站罐容扩建项目</w:t>
            </w:r>
            <w:r>
              <w:rPr>
                <w:rFonts w:hint="default" w:ascii="宋体" w:hAnsi="宋体" w:eastAsia="宋体" w:cs="Times New Roman"/>
                <w:kern w:val="0"/>
                <w:sz w:val="24"/>
                <w:szCs w:val="20"/>
                <w:lang w:val="en-US" w:eastAsia="zh-CN" w:bidi="ar-SA"/>
              </w:rPr>
              <w:t>于20</w:t>
            </w:r>
            <w:r>
              <w:rPr>
                <w:rFonts w:hint="eastAsia" w:ascii="宋体" w:hAnsi="宋体" w:eastAsia="宋体" w:cs="Times New Roman"/>
                <w:kern w:val="0"/>
                <w:sz w:val="24"/>
                <w:szCs w:val="20"/>
                <w:lang w:val="en-US" w:eastAsia="zh-CN" w:bidi="ar-SA"/>
              </w:rPr>
              <w:t>24</w:t>
            </w:r>
            <w:r>
              <w:rPr>
                <w:rFonts w:hint="default" w:ascii="宋体" w:hAnsi="宋体" w:eastAsia="宋体" w:cs="Times New Roman"/>
                <w:kern w:val="0"/>
                <w:sz w:val="24"/>
                <w:szCs w:val="20"/>
                <w:lang w:val="en-US" w:eastAsia="zh-CN" w:bidi="ar-SA"/>
              </w:rPr>
              <w:t>年</w:t>
            </w:r>
            <w:r>
              <w:rPr>
                <w:rFonts w:hint="eastAsia" w:ascii="宋体" w:hAnsi="宋体" w:eastAsia="宋体" w:cs="Times New Roman"/>
                <w:kern w:val="0"/>
                <w:sz w:val="24"/>
                <w:szCs w:val="20"/>
                <w:lang w:val="en-US" w:eastAsia="zh-CN" w:bidi="ar-SA"/>
              </w:rPr>
              <w:t>3</w:t>
            </w:r>
            <w:r>
              <w:rPr>
                <w:rFonts w:hint="default" w:ascii="宋体" w:hAnsi="宋体" w:eastAsia="宋体" w:cs="Times New Roman"/>
                <w:kern w:val="0"/>
                <w:sz w:val="24"/>
                <w:szCs w:val="20"/>
                <w:lang w:val="en-US" w:eastAsia="zh-CN" w:bidi="ar-SA"/>
              </w:rPr>
              <w:t>月</w:t>
            </w:r>
            <w:r>
              <w:rPr>
                <w:rFonts w:hint="eastAsia" w:ascii="宋体" w:hAnsi="宋体" w:eastAsia="宋体" w:cs="Times New Roman"/>
                <w:kern w:val="0"/>
                <w:sz w:val="24"/>
                <w:szCs w:val="20"/>
                <w:lang w:val="en-US" w:eastAsia="zh-CN" w:bidi="ar-SA"/>
              </w:rPr>
              <w:t>14</w:t>
            </w:r>
            <w:r>
              <w:rPr>
                <w:rFonts w:hint="default" w:ascii="宋体" w:hAnsi="宋体" w:eastAsia="宋体" w:cs="Times New Roman"/>
                <w:kern w:val="0"/>
                <w:sz w:val="24"/>
                <w:szCs w:val="20"/>
                <w:lang w:val="en-US" w:eastAsia="zh-CN" w:bidi="ar-SA"/>
              </w:rPr>
              <w:t>日在内黄县发展和改革委员会备案，项目代码：</w:t>
            </w:r>
            <w:r>
              <w:rPr>
                <w:rFonts w:hint="eastAsia" w:ascii="宋体" w:hAnsi="宋体" w:eastAsia="宋体" w:cs="Times New Roman"/>
                <w:kern w:val="0"/>
                <w:sz w:val="24"/>
                <w:szCs w:val="20"/>
                <w:lang w:val="en-US" w:eastAsia="zh-CN" w:bidi="ar-SA"/>
              </w:rPr>
              <w:t>2403</w:t>
            </w:r>
            <w:r>
              <w:rPr>
                <w:rFonts w:hint="default" w:ascii="宋体" w:hAnsi="宋体" w:eastAsia="宋体" w:cs="Times New Roman"/>
                <w:kern w:val="0"/>
                <w:sz w:val="24"/>
                <w:szCs w:val="20"/>
                <w:lang w:val="en-US" w:eastAsia="zh-CN" w:bidi="ar-SA"/>
              </w:rPr>
              <w:t>-410527-</w:t>
            </w:r>
            <w:r>
              <w:rPr>
                <w:rFonts w:hint="eastAsia" w:ascii="宋体" w:hAnsi="宋体" w:eastAsia="宋体" w:cs="Times New Roman"/>
                <w:kern w:val="0"/>
                <w:sz w:val="24"/>
                <w:szCs w:val="20"/>
                <w:lang w:val="en-US" w:eastAsia="zh-CN" w:bidi="ar-SA"/>
              </w:rPr>
              <w:t>04</w:t>
            </w:r>
            <w:r>
              <w:rPr>
                <w:rFonts w:hint="default" w:ascii="宋体" w:hAnsi="宋体" w:eastAsia="宋体" w:cs="Times New Roman"/>
                <w:kern w:val="0"/>
                <w:sz w:val="24"/>
                <w:szCs w:val="20"/>
                <w:lang w:val="en-US" w:eastAsia="zh-CN" w:bidi="ar-SA"/>
              </w:rPr>
              <w:t>-0</w:t>
            </w:r>
            <w:r>
              <w:rPr>
                <w:rFonts w:hint="eastAsia" w:ascii="宋体" w:hAnsi="宋体" w:eastAsia="宋体" w:cs="Times New Roman"/>
                <w:kern w:val="0"/>
                <w:sz w:val="24"/>
                <w:szCs w:val="20"/>
                <w:lang w:val="en-US" w:eastAsia="zh-CN" w:bidi="ar-SA"/>
              </w:rPr>
              <w:t>2</w:t>
            </w:r>
            <w:r>
              <w:rPr>
                <w:rFonts w:hint="default" w:ascii="宋体" w:hAnsi="宋体" w:eastAsia="宋体" w:cs="Times New Roman"/>
                <w:kern w:val="0"/>
                <w:sz w:val="24"/>
                <w:szCs w:val="20"/>
                <w:lang w:val="en-US" w:eastAsia="zh-CN" w:bidi="ar-SA"/>
              </w:rPr>
              <w:t>-</w:t>
            </w:r>
            <w:r>
              <w:rPr>
                <w:rFonts w:hint="eastAsia" w:ascii="宋体" w:hAnsi="宋体" w:eastAsia="宋体" w:cs="Times New Roman"/>
                <w:kern w:val="0"/>
                <w:sz w:val="24"/>
                <w:szCs w:val="20"/>
                <w:lang w:val="en-US" w:eastAsia="zh-CN" w:bidi="ar-SA"/>
              </w:rPr>
              <w:t>749730</w:t>
            </w:r>
            <w:r>
              <w:rPr>
                <w:rFonts w:hint="default" w:ascii="宋体" w:hAnsi="宋体" w:eastAsia="宋体" w:cs="Times New Roman"/>
                <w:kern w:val="0"/>
                <w:sz w:val="24"/>
                <w:szCs w:val="20"/>
                <w:lang w:val="en-US" w:eastAsia="zh-CN" w:bidi="ar-SA"/>
              </w:rPr>
              <w:t>，建设地点：</w:t>
            </w:r>
            <w:r>
              <w:rPr>
                <w:rFonts w:hint="eastAsia" w:ascii="宋体" w:hAnsi="宋体" w:eastAsia="宋体" w:cs="Times New Roman"/>
                <w:kern w:val="0"/>
                <w:sz w:val="24"/>
                <w:szCs w:val="20"/>
                <w:lang w:val="en-US" w:eastAsia="zh-CN" w:bidi="ar-SA"/>
              </w:rPr>
              <w:t>安阳市内黄县梁庄镇015乡道与二郑线交叉口北50米路东（即内黄县梁庄镇梁庄集）</w:t>
            </w:r>
            <w:r>
              <w:rPr>
                <w:rFonts w:hint="default" w:ascii="宋体" w:hAnsi="宋体" w:eastAsia="宋体" w:cs="Times New Roman"/>
                <w:kern w:val="0"/>
                <w:sz w:val="24"/>
                <w:szCs w:val="20"/>
                <w:lang w:val="en-US" w:eastAsia="zh-CN" w:bidi="ar-SA"/>
              </w:rPr>
              <w:t>，该项目为</w:t>
            </w:r>
            <w:r>
              <w:rPr>
                <w:rFonts w:hint="eastAsia" w:ascii="宋体" w:hAnsi="宋体" w:eastAsia="宋体" w:cs="Times New Roman"/>
                <w:kern w:val="0"/>
                <w:sz w:val="24"/>
                <w:szCs w:val="20"/>
                <w:lang w:val="en-US" w:eastAsia="zh-CN" w:bidi="ar-SA"/>
              </w:rPr>
              <w:t>扩建</w:t>
            </w:r>
            <w:r>
              <w:rPr>
                <w:rFonts w:hint="default" w:ascii="宋体" w:hAnsi="宋体" w:eastAsia="宋体" w:cs="Times New Roman"/>
                <w:kern w:val="0"/>
                <w:sz w:val="24"/>
                <w:szCs w:val="20"/>
                <w:lang w:val="en-US" w:eastAsia="zh-CN" w:bidi="ar-SA"/>
              </w:rPr>
              <w:t>危险化学品储存项目。该项目总投资</w:t>
            </w:r>
            <w:r>
              <w:rPr>
                <w:rFonts w:hint="eastAsia" w:ascii="宋体" w:hAnsi="宋体" w:eastAsia="宋体" w:cs="Times New Roman"/>
                <w:kern w:val="0"/>
                <w:sz w:val="24"/>
                <w:szCs w:val="20"/>
                <w:lang w:val="en-US" w:eastAsia="zh-CN" w:bidi="ar-SA"/>
              </w:rPr>
              <w:t>15</w:t>
            </w:r>
            <w:r>
              <w:rPr>
                <w:rFonts w:hint="default" w:ascii="宋体" w:hAnsi="宋体" w:eastAsia="宋体" w:cs="Times New Roman"/>
                <w:kern w:val="0"/>
                <w:sz w:val="24"/>
                <w:szCs w:val="20"/>
                <w:lang w:val="en-US" w:eastAsia="zh-CN" w:bidi="ar-SA"/>
              </w:rPr>
              <w:t>万元，建设规模及内容：</w:t>
            </w:r>
            <w:r>
              <w:rPr>
                <w:rFonts w:hint="eastAsia" w:ascii="宋体" w:hAnsi="宋体" w:eastAsia="宋体" w:cs="Times New Roman"/>
                <w:kern w:val="0"/>
                <w:sz w:val="24"/>
                <w:szCs w:val="20"/>
                <w:lang w:val="en-US" w:eastAsia="zh-CN" w:bidi="ar-SA"/>
              </w:rPr>
              <w:t>拟拆除原有3个储油罐（其中15m³柴油罐1个、25m³汽油罐2个）做报废处理，在原储油罐区重新埋地敷设3个4</w:t>
            </w:r>
            <w:r>
              <w:rPr>
                <w:rFonts w:hint="default" w:ascii="宋体" w:hAnsi="宋体" w:eastAsia="宋体" w:cs="Times New Roman"/>
                <w:kern w:val="0"/>
                <w:sz w:val="24"/>
                <w:szCs w:val="20"/>
                <w:lang w:val="en-US" w:eastAsia="zh-CN" w:bidi="ar-SA"/>
              </w:rPr>
              <w:t xml:space="preserve">0m3 </w:t>
            </w:r>
            <w:r>
              <w:rPr>
                <w:rFonts w:hint="eastAsia" w:ascii="宋体" w:hAnsi="宋体" w:eastAsia="宋体" w:cs="Times New Roman"/>
                <w:kern w:val="0"/>
                <w:sz w:val="24"/>
                <w:szCs w:val="20"/>
                <w:lang w:val="en-US" w:eastAsia="zh-CN" w:bidi="ar-SA"/>
              </w:rPr>
              <w:t>SF双层储油罐</w:t>
            </w:r>
            <w:r>
              <w:rPr>
                <w:rFonts w:hint="default" w:ascii="宋体" w:hAnsi="宋体" w:eastAsia="宋体" w:cs="Times New Roman"/>
                <w:kern w:val="0"/>
                <w:sz w:val="24"/>
                <w:szCs w:val="20"/>
                <w:lang w:val="en-US" w:eastAsia="zh-CN" w:bidi="ar-SA"/>
              </w:rPr>
              <w:t>（其中2</w:t>
            </w:r>
            <w:r>
              <w:rPr>
                <w:rFonts w:hint="eastAsia" w:ascii="宋体" w:hAnsi="宋体" w:eastAsia="宋体" w:cs="Times New Roman"/>
                <w:kern w:val="0"/>
                <w:sz w:val="24"/>
                <w:szCs w:val="20"/>
                <w:lang w:val="en-US" w:eastAsia="zh-CN" w:bidi="ar-SA"/>
              </w:rPr>
              <w:t>个</w:t>
            </w:r>
            <w:r>
              <w:rPr>
                <w:rFonts w:hint="default" w:ascii="宋体" w:hAnsi="宋体" w:eastAsia="宋体" w:cs="Times New Roman"/>
                <w:kern w:val="0"/>
                <w:sz w:val="24"/>
                <w:szCs w:val="20"/>
                <w:lang w:val="en-US" w:eastAsia="zh-CN" w:bidi="ar-SA"/>
              </w:rPr>
              <w:t>汽油罐，</w:t>
            </w:r>
            <w:r>
              <w:rPr>
                <w:rFonts w:hint="eastAsia" w:ascii="宋体" w:hAnsi="宋体" w:eastAsia="宋体" w:cs="Times New Roman"/>
                <w:kern w:val="0"/>
                <w:sz w:val="24"/>
                <w:szCs w:val="20"/>
                <w:lang w:val="en-US" w:eastAsia="zh-CN" w:bidi="ar-SA"/>
              </w:rPr>
              <w:t>1个</w:t>
            </w:r>
            <w:r>
              <w:rPr>
                <w:rFonts w:hint="default" w:ascii="宋体" w:hAnsi="宋体" w:eastAsia="宋体" w:cs="Times New Roman"/>
                <w:kern w:val="0"/>
                <w:sz w:val="24"/>
                <w:szCs w:val="20"/>
                <w:lang w:val="en-US" w:eastAsia="zh-CN" w:bidi="ar-SA"/>
              </w:rPr>
              <w:t>柴油罐），总容积为</w:t>
            </w:r>
            <w:r>
              <w:rPr>
                <w:rFonts w:hint="eastAsia" w:ascii="宋体" w:hAnsi="宋体" w:eastAsia="宋体" w:cs="Times New Roman"/>
                <w:kern w:val="0"/>
                <w:sz w:val="24"/>
                <w:szCs w:val="20"/>
                <w:lang w:val="en-US" w:eastAsia="zh-CN" w:bidi="ar-SA"/>
              </w:rPr>
              <w:t>100</w:t>
            </w:r>
            <w:r>
              <w:rPr>
                <w:rFonts w:hint="default" w:ascii="宋体" w:hAnsi="宋体" w:eastAsia="宋体" w:cs="Times New Roman"/>
                <w:kern w:val="0"/>
                <w:sz w:val="24"/>
                <w:szCs w:val="20"/>
                <w:lang w:val="en-US" w:eastAsia="zh-CN" w:bidi="ar-SA"/>
              </w:rPr>
              <w:t>m3（柴油折半计入）根据GB 50156-2021《汽车加油加气加氢站技术标准》加油站等级划分，该站</w:t>
            </w:r>
            <w:r>
              <w:rPr>
                <w:rFonts w:hint="eastAsia" w:ascii="宋体" w:hAnsi="宋体" w:eastAsia="宋体" w:cs="Times New Roman"/>
                <w:kern w:val="0"/>
                <w:sz w:val="24"/>
                <w:szCs w:val="20"/>
                <w:lang w:val="en-US" w:eastAsia="zh-CN" w:bidi="ar-SA"/>
              </w:rPr>
              <w:t>扩建后</w:t>
            </w:r>
            <w:r>
              <w:rPr>
                <w:rFonts w:hint="default" w:ascii="宋体" w:hAnsi="宋体" w:eastAsia="宋体" w:cs="Times New Roman"/>
                <w:kern w:val="0"/>
                <w:sz w:val="24"/>
                <w:szCs w:val="20"/>
                <w:lang w:val="en-US" w:eastAsia="zh-CN" w:bidi="ar-SA"/>
              </w:rPr>
              <w:t>属于</w:t>
            </w:r>
            <w:r>
              <w:rPr>
                <w:rFonts w:hint="eastAsia" w:ascii="宋体" w:hAnsi="宋体" w:eastAsia="宋体" w:cs="Times New Roman"/>
                <w:kern w:val="0"/>
                <w:sz w:val="24"/>
                <w:szCs w:val="20"/>
                <w:lang w:val="en-US" w:eastAsia="zh-CN" w:bidi="ar-SA"/>
              </w:rPr>
              <w:t>二</w:t>
            </w:r>
            <w:r>
              <w:rPr>
                <w:rFonts w:hint="default" w:ascii="宋体" w:hAnsi="宋体" w:eastAsia="宋体" w:cs="Times New Roman"/>
                <w:kern w:val="0"/>
                <w:sz w:val="24"/>
                <w:szCs w:val="20"/>
                <w:lang w:val="en-US" w:eastAsia="zh-CN" w:bidi="ar-SA"/>
              </w:rPr>
              <w:t>级加油站。</w:t>
            </w:r>
          </w:p>
          <w:p>
            <w:pPr>
              <w:spacing w:line="520" w:lineRule="exact"/>
              <w:ind w:firstLine="480" w:firstLineChars="200"/>
              <w:jc w:val="left"/>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1）</w:t>
            </w:r>
            <w:r>
              <w:rPr>
                <w:rFonts w:hint="default" w:ascii="宋体" w:hAnsi="宋体" w:eastAsia="宋体" w:cs="Times New Roman"/>
                <w:kern w:val="0"/>
                <w:sz w:val="24"/>
                <w:szCs w:val="20"/>
                <w:lang w:val="en-US" w:eastAsia="zh-CN" w:bidi="ar-SA"/>
              </w:rPr>
              <w:t>卸油</w:t>
            </w:r>
            <w:r>
              <w:rPr>
                <w:rFonts w:hint="eastAsia" w:ascii="宋体" w:hAnsi="宋体" w:eastAsia="宋体" w:cs="Times New Roman"/>
                <w:kern w:val="0"/>
                <w:sz w:val="24"/>
                <w:szCs w:val="20"/>
                <w:lang w:val="en-US" w:eastAsia="zh-CN" w:bidi="ar-SA"/>
              </w:rPr>
              <w:t>工艺工艺流程</w:t>
            </w:r>
          </w:p>
          <w:p>
            <w:pPr>
              <w:spacing w:line="52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该站采用油罐车经软管与油罐卸油孔连通卸油的方式卸油。汽油、柴油的油槽车到达加油站罐区后，在油罐附近停稳熄火，将连通软管与油罐车的卸油口、油罐的进油口用密闭快速接头连接好，并接上静电接地装置，静止十五分钟后开始计量卸油，利用位差将乙醇汽油、柴油分别输送至汽、柴油贮罐储存。加油站内各个油罐均设置有液位计，卸油过程中应时刻注意液位计指示，防止油品溢出。油品卸完后，拆除连通软管，人工封好油罐和罐车卸油口，拆除静电接地报警装置，发动油品罐车缓缓离开罐区。</w:t>
            </w:r>
          </w:p>
          <w:p>
            <w:pPr>
              <w:spacing w:line="520" w:lineRule="exact"/>
              <w:ind w:firstLine="480" w:firstLineChars="200"/>
              <w:jc w:val="left"/>
              <w:rPr>
                <w:rFonts w:hint="eastAsia" w:ascii="宋体" w:hAnsi="宋体" w:eastAsia="宋体" w:cs="Times New Roman"/>
                <w:kern w:val="0"/>
                <w:sz w:val="24"/>
                <w:szCs w:val="20"/>
                <w:lang w:val="en-US" w:eastAsia="zh-CN" w:bidi="ar-SA"/>
              </w:rPr>
            </w:pPr>
            <w:bookmarkStart w:id="0" w:name="_Hlk139990420"/>
            <w:r>
              <w:rPr>
                <w:rFonts w:hint="eastAsia" w:ascii="宋体" w:hAnsi="宋体" w:eastAsia="宋体" w:cs="Times New Roman"/>
                <w:kern w:val="0"/>
                <w:sz w:val="24"/>
                <w:szCs w:val="20"/>
                <w:lang w:val="en-US" w:eastAsia="zh-CN" w:bidi="ar-SA"/>
              </w:rPr>
              <w:t>2）加油工艺</w:t>
            </w:r>
          </w:p>
          <w:bookmarkEnd w:id="0"/>
          <w:p>
            <w:pPr>
              <w:spacing w:line="52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加油采用自吸式加油工艺，加油时由油泵对汽、柴油进行输送，将油品从储油罐抽出后，经过加油机的油气分离器、计量器，再经过加油枪加到汽车油箱中。加油机与配套油泵之间进行联锁，当需要进行汽、柴油加注时，油泵自动启动将油品抽出，加油结束后油泵自动停止运转。加油机加油枪软管与加油机连接处设置拉断阀，拉力过大时将自动断开，同时自动关闭，防止燃油外溢。</w:t>
            </w:r>
          </w:p>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3）油气回收工艺</w:t>
            </w:r>
          </w:p>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该加油站的油气回收工艺包括汽油卸油油气回收和汽油加油油气回收。卸油油气回收：在油罐车卸油时，油罐车回气口与油气回收口对接，卸油的过程中，油品自油罐车自流进储油罐，储油罐内的油气通过回气口进入罐车内，实现密闭卸油。回收至油罐车的油气，可由油罐车带回油库，通过油库安装的油气回收设施回收处理。加油油气回收：汽油车在站内加油的过程中，汽车油罐内的油气通过加油机油气回收枪进入油气回收系统。回收后的油气通过加油油气回收管线送入汽油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50" w:hRule="atLeast"/>
          <w:jc w:val="center"/>
        </w:trPr>
        <w:tc>
          <w:tcPr>
            <w:tcW w:w="1325" w:type="dxa"/>
            <w:tcBorders>
              <w:tl2br w:val="nil"/>
              <w:tr2bl w:val="nil"/>
            </w:tcBorders>
            <w:shd w:val="clear" w:color="auto" w:fill="auto"/>
            <w:vAlign w:val="center"/>
          </w:tcPr>
          <w:p>
            <w:pPr>
              <w:pStyle w:val="23"/>
              <w:jc w:val="center"/>
            </w:pPr>
            <w:r>
              <w:t>现场照片</w:t>
            </w:r>
          </w:p>
        </w:tc>
        <w:tc>
          <w:tcPr>
            <w:tcW w:w="8029" w:type="dxa"/>
            <w:gridSpan w:val="3"/>
            <w:tcBorders>
              <w:tl2br w:val="nil"/>
              <w:tr2bl w:val="nil"/>
            </w:tcBorders>
            <w:shd w:val="clear" w:color="auto" w:fill="auto"/>
          </w:tcPr>
          <w:p>
            <w:pPr>
              <w:pStyle w:val="16"/>
              <w:snapToGrid w:val="0"/>
              <w:spacing w:after="0"/>
              <w:ind w:left="0" w:leftChars="0" w:firstLine="0" w:firstLineChars="0"/>
              <w:jc w:val="both"/>
              <w:rPr>
                <w:sz w:val="21"/>
                <w:szCs w:val="21"/>
              </w:rPr>
            </w:pPr>
            <w:r>
              <w:drawing>
                <wp:anchor distT="0" distB="0" distL="114300" distR="114300" simplePos="0" relativeHeight="251659264" behindDoc="0" locked="0" layoutInCell="1" allowOverlap="1">
                  <wp:simplePos x="0" y="0"/>
                  <wp:positionH relativeFrom="column">
                    <wp:posOffset>51435</wp:posOffset>
                  </wp:positionH>
                  <wp:positionV relativeFrom="paragraph">
                    <wp:posOffset>22225</wp:posOffset>
                  </wp:positionV>
                  <wp:extent cx="4957445" cy="3253740"/>
                  <wp:effectExtent l="0" t="0" r="14605" b="381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957445" cy="3253740"/>
                          </a:xfrm>
                          <a:prstGeom prst="rect">
                            <a:avLst/>
                          </a:prstGeom>
                          <a:noFill/>
                          <a:ln>
                            <a:noFill/>
                          </a:ln>
                        </pic:spPr>
                      </pic:pic>
                    </a:graphicData>
                  </a:graphic>
                </wp:anchor>
              </w:drawing>
            </w:r>
            <w:r>
              <w:rPr>
                <w:rFonts w:hint="eastAsia"/>
                <w:sz w:val="21"/>
                <w:szCs w:val="21"/>
              </w:rPr>
              <w:t xml:space="preserve"> </w:t>
            </w:r>
          </w:p>
          <w:p>
            <w:pPr>
              <w:pStyle w:val="15"/>
              <w:snapToGrid w:val="0"/>
              <w:ind w:firstLine="0" w:firstLineChars="0"/>
              <w:jc w:val="both"/>
            </w:pPr>
            <w:r>
              <w:t xml:space="preserve"> </w:t>
            </w:r>
          </w:p>
          <w:p>
            <w:pPr>
              <w:pStyle w:val="15"/>
              <w:snapToGrid w:val="0"/>
              <w:ind w:firstLine="0" w:firstLineChars="0"/>
              <w:jc w:val="both"/>
              <w:rPr>
                <w:rFonts w:hint="eastAsia" w:eastAsia="宋体"/>
                <w:lang w:eastAsia="zh-CN"/>
              </w:rPr>
            </w:pPr>
            <w:r>
              <w:t xml:space="preserve"> </w:t>
            </w:r>
          </w:p>
          <w:p>
            <w:pPr>
              <w:pStyle w:val="15"/>
              <w:snapToGrid w:val="0"/>
              <w:ind w:firstLine="0" w:firstLineChars="0"/>
              <w:jc w:val="both"/>
              <w:rPr>
                <w:rFonts w:hint="eastAsia" w:eastAsia="宋体"/>
                <w:lang w:eastAsia="zh-CN"/>
              </w:rPr>
            </w:pPr>
            <w:r>
              <w:t xml:space="preserve"> </w:t>
            </w:r>
          </w:p>
          <w:p>
            <w:pPr>
              <w:pStyle w:val="15"/>
              <w:snapToGrid w:val="0"/>
              <w:ind w:firstLine="0" w:firstLineChars="0"/>
              <w:jc w:val="both"/>
              <w:rPr>
                <w:rFonts w:hint="eastAsia" w:eastAsia="宋体"/>
                <w:lang w:eastAsia="zh-CN"/>
              </w:rPr>
            </w:pPr>
          </w:p>
          <w:p>
            <w:pPr>
              <w:pStyle w:val="15"/>
              <w:snapToGrid w:val="0"/>
              <w:ind w:firstLine="0" w:firstLineChars="0"/>
              <w:jc w:val="both"/>
              <w:rPr>
                <w:rFonts w:hint="eastAsia" w:eastAsia="宋体"/>
                <w:lang w:eastAsia="zh-CN"/>
              </w:rPr>
            </w:pPr>
            <w:r>
              <w:drawing>
                <wp:anchor distT="0" distB="0" distL="114300" distR="114300" simplePos="0" relativeHeight="251660288" behindDoc="0" locked="0" layoutInCell="1" allowOverlap="1">
                  <wp:simplePos x="0" y="0"/>
                  <wp:positionH relativeFrom="column">
                    <wp:posOffset>51435</wp:posOffset>
                  </wp:positionH>
                  <wp:positionV relativeFrom="paragraph">
                    <wp:posOffset>2228215</wp:posOffset>
                  </wp:positionV>
                  <wp:extent cx="4969510" cy="3013075"/>
                  <wp:effectExtent l="0" t="0" r="2540" b="1587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4969510" cy="30130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1325" w:type="dxa"/>
            <w:tcBorders>
              <w:tl2br w:val="nil"/>
              <w:tr2bl w:val="nil"/>
            </w:tcBorders>
            <w:shd w:val="clear" w:color="auto" w:fill="auto"/>
            <w:vAlign w:val="center"/>
          </w:tcPr>
          <w:p>
            <w:pPr>
              <w:pStyle w:val="23"/>
            </w:pPr>
            <w:r>
              <w:t>被评价单位信息反馈情况</w:t>
            </w:r>
          </w:p>
        </w:tc>
        <w:tc>
          <w:tcPr>
            <w:tcW w:w="8029" w:type="dxa"/>
            <w:gridSpan w:val="3"/>
            <w:tcBorders>
              <w:tl2br w:val="nil"/>
              <w:tr2bl w:val="nil"/>
            </w:tcBorders>
            <w:shd w:val="clear" w:color="auto" w:fill="auto"/>
            <w:vAlign w:val="center"/>
          </w:tcPr>
          <w:p>
            <w:pPr>
              <w:pStyle w:val="23"/>
            </w:pPr>
            <w:r>
              <w:t>满意</w:t>
            </w:r>
          </w:p>
        </w:tc>
      </w:tr>
    </w:tbl>
    <w:p>
      <w:pPr>
        <w:pageBreakBefore/>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5"/>
        <w:gridCol w:w="1339"/>
        <w:gridCol w:w="4766"/>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325" w:type="dxa"/>
            <w:tcBorders>
              <w:tl2br w:val="nil"/>
              <w:tr2bl w:val="nil"/>
            </w:tcBorders>
            <w:shd w:val="clear" w:color="auto" w:fill="auto"/>
            <w:vAlign w:val="center"/>
          </w:tcPr>
          <w:p>
            <w:pPr>
              <w:pStyle w:val="23"/>
            </w:pPr>
            <w:r>
              <w:t>项目名称</w:t>
            </w:r>
          </w:p>
        </w:tc>
        <w:tc>
          <w:tcPr>
            <w:tcW w:w="8029" w:type="dxa"/>
            <w:gridSpan w:val="3"/>
            <w:tcBorders>
              <w:tl2br w:val="nil"/>
              <w:tr2bl w:val="nil"/>
            </w:tcBorders>
            <w:shd w:val="clear" w:color="auto" w:fill="auto"/>
            <w:vAlign w:val="center"/>
          </w:tcPr>
          <w:p>
            <w:pPr>
              <w:pStyle w:val="27"/>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内黄县中福石化加油站罐容扩建项目</w:t>
            </w:r>
          </w:p>
          <w:p>
            <w:pPr>
              <w:pStyle w:val="27"/>
              <w:jc w:val="center"/>
            </w:pPr>
            <w:r>
              <w:rPr>
                <w:rFonts w:hint="eastAsia" w:ascii="宋体" w:hAnsi="宋体" w:eastAsia="宋体" w:cs="宋体"/>
                <w:color w:val="auto"/>
                <w:kern w:val="2"/>
                <w:sz w:val="24"/>
                <w:szCs w:val="24"/>
                <w:lang w:val="en-US" w:eastAsia="zh-CN" w:bidi="ar-SA"/>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r>
              <w:t>完成时间</w:t>
            </w:r>
          </w:p>
        </w:tc>
        <w:tc>
          <w:tcPr>
            <w:tcW w:w="8029" w:type="dxa"/>
            <w:gridSpan w:val="3"/>
            <w:tcBorders>
              <w:tl2br w:val="nil"/>
              <w:tr2bl w:val="nil"/>
            </w:tcBorders>
            <w:shd w:val="clear" w:color="auto" w:fill="auto"/>
            <w:vAlign w:val="center"/>
          </w:tcPr>
          <w:p>
            <w:pPr>
              <w:widowControl/>
              <w:spacing w:after="150"/>
              <w:jc w:val="center"/>
              <w:rPr>
                <w:rFonts w:hint="default"/>
                <w:lang w:val="en-US"/>
              </w:rPr>
            </w:pPr>
            <w:r>
              <w:rPr>
                <w:rFonts w:hint="eastAsia" w:ascii="宋体" w:hAnsi="宋体" w:cs="宋体"/>
                <w:sz w:val="24"/>
                <w:szCs w:val="24"/>
                <w:lang w:val="en-US" w:eastAsia="zh-CN"/>
              </w:rPr>
              <w:t>2024年04月02</w:t>
            </w:r>
            <w:bookmarkStart w:id="1" w:name="_GoBack"/>
            <w:bookmarkEnd w:id="1"/>
            <w:r>
              <w:rPr>
                <w:rFonts w:hint="eastAsia" w:ascii="宋体" w:hAnsi="宋体" w:cs="宋体"/>
                <w:sz w:val="24"/>
                <w:szCs w:val="24"/>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9354" w:type="dxa"/>
            <w:gridSpan w:val="4"/>
            <w:tcBorders>
              <w:tl2br w:val="nil"/>
              <w:tr2bl w:val="nil"/>
            </w:tcBorders>
            <w:shd w:val="clear" w:color="auto" w:fill="auto"/>
            <w:vAlign w:val="center"/>
          </w:tcPr>
          <w:p>
            <w:pPr>
              <w:pStyle w:val="23"/>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pStyle w:val="23"/>
              <w:jc w:val="center"/>
            </w:pPr>
            <w:r>
              <w:t>姓名</w:t>
            </w:r>
          </w:p>
        </w:tc>
        <w:tc>
          <w:tcPr>
            <w:tcW w:w="4766" w:type="dxa"/>
            <w:tcBorders>
              <w:tl2br w:val="nil"/>
              <w:tr2bl w:val="nil"/>
            </w:tcBorders>
            <w:shd w:val="clear" w:color="auto" w:fill="auto"/>
            <w:vAlign w:val="center"/>
          </w:tcPr>
          <w:p>
            <w:pPr>
              <w:pStyle w:val="23"/>
              <w:jc w:val="center"/>
            </w:pPr>
            <w:r>
              <w:t>资格证书号</w:t>
            </w:r>
          </w:p>
        </w:tc>
        <w:tc>
          <w:tcPr>
            <w:tcW w:w="1924" w:type="dxa"/>
            <w:tcBorders>
              <w:tl2br w:val="nil"/>
              <w:tr2bl w:val="nil"/>
            </w:tcBorders>
            <w:shd w:val="clear" w:color="auto" w:fill="auto"/>
            <w:vAlign w:val="center"/>
          </w:tcPr>
          <w:p>
            <w:pPr>
              <w:pStyle w:val="23"/>
              <w:jc w:val="center"/>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1325" w:type="dxa"/>
            <w:tcBorders>
              <w:tl2br w:val="nil"/>
              <w:tr2bl w:val="nil"/>
            </w:tcBorders>
            <w:shd w:val="clear" w:color="auto" w:fill="auto"/>
            <w:vAlign w:val="center"/>
          </w:tcPr>
          <w:p>
            <w:pPr>
              <w:pStyle w:val="23"/>
            </w:pPr>
            <w:r>
              <w:t>项目负责人</w:t>
            </w: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王海龙</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1600000000200965</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030233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1325" w:type="dxa"/>
            <w:vMerge w:val="restart"/>
            <w:tcBorders>
              <w:tl2br w:val="nil"/>
              <w:tr2bl w:val="nil"/>
            </w:tcBorders>
            <w:shd w:val="clear" w:color="auto" w:fill="auto"/>
            <w:vAlign w:val="center"/>
          </w:tcPr>
          <w:p>
            <w:pPr>
              <w:pStyle w:val="23"/>
            </w:pPr>
            <w:r>
              <w:t>项目组成员</w:t>
            </w: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陈武斌</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1100000000300371</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eastAsia" w:cs="Times New Roman"/>
                <w:sz w:val="24"/>
                <w:lang w:val="en-US" w:eastAsia="zh-CN"/>
              </w:rPr>
              <w:t>岳强</w:t>
            </w:r>
          </w:p>
        </w:tc>
        <w:tc>
          <w:tcPr>
            <w:tcW w:w="4766"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default" w:ascii="Times New Roman" w:hAnsi="Times New Roman" w:cs="Times New Roman"/>
                <w:sz w:val="24"/>
                <w:lang w:val="en-US" w:eastAsia="zh-CN"/>
              </w:rPr>
              <w:t>0800000000102212</w:t>
            </w:r>
          </w:p>
        </w:tc>
        <w:tc>
          <w:tcPr>
            <w:tcW w:w="1924"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sz w:val="24"/>
                <w:lang w:val="en-US" w:eastAsia="zh-CN"/>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申文杰</w:t>
            </w:r>
          </w:p>
        </w:tc>
        <w:tc>
          <w:tcPr>
            <w:tcW w:w="47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S011041000110202001639</w:t>
            </w:r>
          </w:p>
        </w:tc>
        <w:tc>
          <w:tcPr>
            <w:tcW w:w="192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before="156" w:beforeLines="50" w:after="156" w:afterLines="50" w:line="260" w:lineRule="exact"/>
              <w:ind w:left="0" w:leftChars="0"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042459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vMerge w:val="continue"/>
            <w:tcBorders>
              <w:tl2br w:val="nil"/>
              <w:tr2bl w:val="nil"/>
            </w:tcBorders>
            <w:shd w:val="clear" w:color="auto" w:fill="auto"/>
            <w:vAlign w:val="center"/>
          </w:tcPr>
          <w:p>
            <w:pPr>
              <w:pStyle w:val="23"/>
            </w:pPr>
          </w:p>
        </w:tc>
        <w:tc>
          <w:tcPr>
            <w:tcW w:w="1339" w:type="dxa"/>
            <w:tcBorders>
              <w:tl2br w:val="nil"/>
              <w:tr2bl w:val="nil"/>
            </w:tcBorders>
            <w:shd w:val="clear" w:color="auto" w:fill="auto"/>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sz w:val="24"/>
                <w:lang w:val="en-US" w:eastAsia="zh-CN"/>
              </w:rPr>
            </w:pPr>
            <w:r>
              <w:rPr>
                <w:rFonts w:hint="eastAsia" w:cs="Times New Roman"/>
                <w:sz w:val="24"/>
                <w:lang w:val="en-US" w:eastAsia="zh-CN"/>
              </w:rPr>
              <w:t>韦根远</w:t>
            </w:r>
          </w:p>
        </w:tc>
        <w:tc>
          <w:tcPr>
            <w:tcW w:w="4766" w:type="dxa"/>
            <w:tcBorders>
              <w:tl2br w:val="nil"/>
              <w:tr2bl w:val="nil"/>
            </w:tcBorders>
            <w:shd w:val="clear" w:color="auto" w:fill="auto"/>
            <w:vAlign w:val="center"/>
          </w:tcPr>
          <w:p>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S011044000110191001083</w:t>
            </w:r>
          </w:p>
        </w:tc>
        <w:tc>
          <w:tcPr>
            <w:tcW w:w="1924" w:type="dxa"/>
            <w:tcBorders>
              <w:tl2br w:val="nil"/>
              <w:tr2bl w:val="nil"/>
            </w:tcBorders>
            <w:shd w:val="clear" w:color="auto" w:fill="auto"/>
            <w:vAlign w:val="center"/>
          </w:tcPr>
          <w:p>
            <w:pPr>
              <w:spacing w:before="156" w:beforeLines="50" w:after="156" w:afterLines="50" w:line="400" w:lineRule="exact"/>
              <w:ind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1325" w:type="dxa"/>
            <w:tcBorders>
              <w:tl2br w:val="nil"/>
              <w:tr2bl w:val="nil"/>
            </w:tcBorders>
            <w:shd w:val="clear" w:color="auto" w:fill="auto"/>
            <w:vAlign w:val="center"/>
          </w:tcPr>
          <w:p>
            <w:pPr>
              <w:pStyle w:val="23"/>
            </w:pPr>
            <w:r>
              <w:t>技术专家</w:t>
            </w:r>
          </w:p>
        </w:tc>
        <w:tc>
          <w:tcPr>
            <w:tcW w:w="8029" w:type="dxa"/>
            <w:gridSpan w:val="3"/>
            <w:tcBorders>
              <w:tl2br w:val="nil"/>
              <w:tr2bl w:val="nil"/>
            </w:tcBorders>
            <w:shd w:val="clear" w:color="auto" w:fill="auto"/>
            <w:vAlign w:val="center"/>
          </w:tcPr>
          <w:p>
            <w:pPr>
              <w:pStyle w:val="2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5" w:type="dxa"/>
            <w:tcBorders>
              <w:tl2br w:val="nil"/>
              <w:tr2bl w:val="nil"/>
            </w:tcBorders>
            <w:shd w:val="clear" w:color="auto" w:fill="auto"/>
            <w:vAlign w:val="center"/>
          </w:tcPr>
          <w:p>
            <w:pPr>
              <w:pStyle w:val="23"/>
            </w:pPr>
            <w:r>
              <w:t>现场勘察人员及时间</w:t>
            </w:r>
          </w:p>
        </w:tc>
        <w:tc>
          <w:tcPr>
            <w:tcW w:w="8029" w:type="dxa"/>
            <w:gridSpan w:val="3"/>
            <w:tcBorders>
              <w:tl2br w:val="nil"/>
              <w:tr2bl w:val="nil"/>
            </w:tcBorders>
            <w:shd w:val="clear" w:color="auto" w:fill="auto"/>
            <w:vAlign w:val="center"/>
          </w:tcPr>
          <w:p>
            <w:pPr>
              <w:widowControl/>
              <w:spacing w:after="150"/>
              <w:jc w:val="both"/>
            </w:pPr>
            <w:r>
              <w:rPr>
                <w:rFonts w:hint="eastAsia" w:ascii="宋体" w:hAnsi="宋体" w:cs="宋体"/>
                <w:sz w:val="24"/>
                <w:szCs w:val="24"/>
                <w:lang w:val="en-US" w:eastAsia="zh-CN"/>
              </w:rPr>
              <w:t>王海龙、申文杰；2024年02月 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25" w:type="dxa"/>
            <w:tcBorders>
              <w:tl2br w:val="nil"/>
              <w:tr2bl w:val="nil"/>
            </w:tcBorders>
            <w:shd w:val="clear" w:color="auto" w:fill="auto"/>
            <w:vAlign w:val="center"/>
          </w:tcPr>
          <w:p>
            <w:pPr>
              <w:pStyle w:val="23"/>
            </w:pPr>
            <w:r>
              <w:rPr>
                <w:rFonts w:hint="eastAsia"/>
              </w:rPr>
              <w:t>现场核查的人员和时间</w:t>
            </w:r>
          </w:p>
        </w:tc>
        <w:tc>
          <w:tcPr>
            <w:tcW w:w="8029" w:type="dxa"/>
            <w:gridSpan w:val="3"/>
            <w:tcBorders>
              <w:tl2br w:val="nil"/>
              <w:tr2bl w:val="nil"/>
            </w:tcBorders>
            <w:shd w:val="clear" w:color="auto" w:fill="auto"/>
            <w:vAlign w:val="center"/>
          </w:tcPr>
          <w:p>
            <w:pPr>
              <w:widowControl/>
              <w:spacing w:after="150"/>
              <w:jc w:val="both"/>
              <w:rPr>
                <w:rFonts w:hint="default" w:eastAsia="宋体"/>
                <w:lang w:val="en-US" w:eastAsia="zh-CN"/>
              </w:rPr>
            </w:pP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25" w:type="dxa"/>
            <w:tcBorders>
              <w:tl2br w:val="nil"/>
              <w:tr2bl w:val="nil"/>
            </w:tcBorders>
            <w:shd w:val="clear" w:color="auto" w:fill="auto"/>
            <w:vAlign w:val="center"/>
          </w:tcPr>
          <w:p>
            <w:pPr>
              <w:pStyle w:val="23"/>
            </w:pPr>
            <w:r>
              <w:t>项目简介</w:t>
            </w:r>
          </w:p>
        </w:tc>
        <w:tc>
          <w:tcPr>
            <w:tcW w:w="8029" w:type="dxa"/>
            <w:gridSpan w:val="3"/>
            <w:tcBorders>
              <w:tl2br w:val="nil"/>
              <w:tr2bl w:val="nil"/>
            </w:tcBorders>
            <w:shd w:val="clear" w:color="auto" w:fill="auto"/>
          </w:tcPr>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内黄县中福石化加油站位于内黄县梁庄镇梁庄街，加油站坐北朝南，坐落于梁庄街北侧，沿梁庄街分开设置进出站口。加油站站外北侧为空地及杂物间，西侧为商铺，东侧为闲置院子和凉皮店，南侧为梁庄街及架空电力线，交通便利。该加油站占地面积690m2，按平面布置划分，站内建筑包括有站房、储油罐区、卫生间以及罩棚覆盖的加油区，梁庄街在加油站位置处为东西向公路，罩棚覆盖的加油区位于梁庄街北侧；储油罐区位于加油区北侧；储油罐区东侧为站房，站房北侧为卫生间，站房和卫生间均为砖混结构。加油站的主要设备包括：罩棚覆盖的加油区设置有2台加油机，其中1台为双枪双泵柴油加油机，1台为双枪双泵汽油加油机，单排布置，罩棚采用钢架结构，罩棚顶棚采用无防火保护的钢结构；储油罐区埋地敷设有2座SF双层卧式储油罐，其中：乙醇汽油罐1座，柴油罐1座，容积均为10m3；油罐总容积为15m3（柴油折半计入）。根据GB50156-2021《汽车加油加气加氢站技术标准》加油站的等级划分，该站为三级加油站。</w:t>
            </w:r>
          </w:p>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该加油站采用的工艺技术由卸油、加油及油气回收三部分构成。整体工艺流程为：油罐车经软管与油罐卸油孔连通，开启卸油阀门后，各油品靠高低落差流入各自油品储罐（上游装置）中进行储存，储油罐内的油气通过回气口进入罐车内；储存的油品采用自吸泵对汽、柴油进行输送，将油品从储油罐抽出后，经过加油机（中游装置）的油气分离器、计量器，再经过加油枪加到汽车（下游装置）油箱中，加油的过程中汽车油罐内的油气通过加油机油气回收枪送入汽油罐内并完成加油。加油站的油气回收工艺包括汽油卸油油气回收和汽油加油油气回收。采用的主要技术和工艺设备比较实用、成熟，与国内多数同类建设项目相比，其技术水平基本相当。</w:t>
            </w:r>
          </w:p>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2.5.1.1 卸油工艺工艺流程</w:t>
            </w:r>
          </w:p>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该站采用油罐车经软管与油罐卸油孔连通卸油的方式卸油。汽油、柴油的油槽车到达加油站罐区后，在油罐附近停稳熄火，将连通软管与油罐车的卸油口、油罐的进油口用密闭快速接头连接好，并接上静电接地装置，静止十五分钟后开始计量卸油，利用位差将乙醇汽油、柴油分别输送至汽、柴油贮罐储存。加油站内各个油罐均设置有液位计，卸油过程中应时刻注意液位计指示，防止油品溢出。油品卸完后，拆除连通软管，人工封好油罐和罐车卸油口，拆除静电接地报警装置，发动油品罐车缓缓离开罐区。</w:t>
            </w:r>
          </w:p>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2.5.1.2 加油工艺</w:t>
            </w:r>
          </w:p>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加油采用自吸式加油工艺，加油时由油泵对汽、柴油进行输送，将油品从储油罐抽出后，经过加油机的油气分离器、计量器，再经过加油枪加到汽车油箱中。加油机与配套油泵之间进行联锁，当需要进行汽、柴油加注时，油泵自动启动将油品抽出，加油结束后油泵自动停止运转。加油机加油枪软管与加油机连接处设置拉断阀，拉力过大时将自动断开，同时自动关闭，防止燃油外溢。</w:t>
            </w:r>
          </w:p>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2.5.1.3 油气回收工艺</w:t>
            </w:r>
          </w:p>
          <w:p>
            <w:pPr>
              <w:spacing w:line="520" w:lineRule="exact"/>
              <w:ind w:firstLine="480" w:firstLineChars="200"/>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该加油站的油气回收工艺包括汽油卸油油气回收和汽油加油油气回收。卸油油气回收：在油罐车卸油时，油罐车回气口与油气回收口对接，卸油的过程中，油品自油罐车自流进储油罐，储油罐内的油气通过回气口进入罐车内，实现密闭卸油。回收至油罐车的油气，可由油罐车带回油库，通过油库安装的油气回收设施回收处理。加油油气回收：汽油车在站内加油的过程中，汽车油罐内的油气通过加油机油气回收枪进入油气回收系统。回收后的油气通过加油油气回收管线送入汽油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8" w:hRule="atLeast"/>
          <w:jc w:val="center"/>
        </w:trPr>
        <w:tc>
          <w:tcPr>
            <w:tcW w:w="1325" w:type="dxa"/>
            <w:tcBorders>
              <w:tl2br w:val="nil"/>
              <w:tr2bl w:val="nil"/>
            </w:tcBorders>
            <w:shd w:val="clear" w:color="auto" w:fill="auto"/>
            <w:vAlign w:val="center"/>
          </w:tcPr>
          <w:p>
            <w:pPr>
              <w:pStyle w:val="23"/>
              <w:jc w:val="center"/>
            </w:pPr>
            <w:r>
              <w:t>现场照片</w:t>
            </w:r>
          </w:p>
        </w:tc>
        <w:tc>
          <w:tcPr>
            <w:tcW w:w="8029" w:type="dxa"/>
            <w:gridSpan w:val="3"/>
            <w:tcBorders>
              <w:tl2br w:val="nil"/>
              <w:tr2bl w:val="nil"/>
            </w:tcBorders>
            <w:shd w:val="clear" w:color="auto" w:fill="auto"/>
          </w:tcPr>
          <w:p>
            <w:pPr>
              <w:pStyle w:val="16"/>
              <w:snapToGrid w:val="0"/>
              <w:spacing w:after="0"/>
              <w:ind w:left="0" w:leftChars="0" w:firstLine="0" w:firstLineChars="0"/>
              <w:jc w:val="both"/>
              <w:rPr>
                <w:sz w:val="21"/>
                <w:szCs w:val="21"/>
              </w:rPr>
            </w:pPr>
            <w:r>
              <w:drawing>
                <wp:anchor distT="0" distB="0" distL="114300" distR="114300" simplePos="0" relativeHeight="251661312" behindDoc="0" locked="0" layoutInCell="1" allowOverlap="1">
                  <wp:simplePos x="0" y="0"/>
                  <wp:positionH relativeFrom="column">
                    <wp:posOffset>110490</wp:posOffset>
                  </wp:positionH>
                  <wp:positionV relativeFrom="paragraph">
                    <wp:posOffset>20320</wp:posOffset>
                  </wp:positionV>
                  <wp:extent cx="4662170" cy="3092450"/>
                  <wp:effectExtent l="0" t="0" r="5080" b="1270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4662170" cy="3092450"/>
                          </a:xfrm>
                          <a:prstGeom prst="rect">
                            <a:avLst/>
                          </a:prstGeom>
                          <a:noFill/>
                          <a:ln>
                            <a:noFill/>
                          </a:ln>
                        </pic:spPr>
                      </pic:pic>
                    </a:graphicData>
                  </a:graphic>
                </wp:anchor>
              </w:drawing>
            </w:r>
            <w:r>
              <w:rPr>
                <w:rFonts w:hint="eastAsia"/>
                <w:sz w:val="21"/>
                <w:szCs w:val="21"/>
              </w:rPr>
              <w:t xml:space="preserve"> </w:t>
            </w:r>
          </w:p>
          <w:p>
            <w:pPr>
              <w:pStyle w:val="15"/>
              <w:snapToGrid w:val="0"/>
              <w:ind w:firstLine="0" w:firstLineChars="0"/>
              <w:jc w:val="both"/>
            </w:pPr>
            <w:r>
              <w:t xml:space="preserve"> </w:t>
            </w:r>
          </w:p>
          <w:p>
            <w:pPr>
              <w:pStyle w:val="15"/>
              <w:snapToGrid w:val="0"/>
              <w:ind w:firstLine="0" w:firstLineChars="0"/>
              <w:jc w:val="both"/>
              <w:rPr>
                <w:rFonts w:hint="eastAsia" w:eastAsia="宋体"/>
                <w:lang w:eastAsia="zh-CN"/>
              </w:rPr>
            </w:pPr>
            <w:r>
              <w:t xml:space="preserve"> </w:t>
            </w:r>
          </w:p>
          <w:p>
            <w:pPr>
              <w:pStyle w:val="15"/>
              <w:snapToGrid w:val="0"/>
              <w:ind w:firstLine="0" w:firstLineChars="0"/>
              <w:jc w:val="both"/>
              <w:rPr>
                <w:rFonts w:hint="eastAsia" w:eastAsia="宋体"/>
                <w:lang w:eastAsia="zh-CN"/>
              </w:rPr>
            </w:pPr>
            <w:r>
              <w:t xml:space="preserve"> </w:t>
            </w:r>
          </w:p>
          <w:p>
            <w:pPr>
              <w:pStyle w:val="15"/>
              <w:snapToGrid w:val="0"/>
              <w:ind w:firstLine="0" w:firstLineChars="0"/>
              <w:jc w:val="both"/>
              <w:rPr>
                <w:rFonts w:hint="eastAsia" w:eastAsia="宋体"/>
                <w:lang w:eastAsia="zh-CN"/>
              </w:rPr>
            </w:pPr>
          </w:p>
          <w:p>
            <w:pPr>
              <w:pStyle w:val="15"/>
              <w:snapToGrid w:val="0"/>
              <w:ind w:firstLine="0" w:firstLineChars="0"/>
              <w:jc w:val="both"/>
              <w:rPr>
                <w:rFonts w:hint="eastAsia" w:eastAsia="宋体"/>
                <w:b/>
                <w:bCs/>
                <w:lang w:eastAsia="zh-CN"/>
              </w:rPr>
            </w:pPr>
            <w:r>
              <w:drawing>
                <wp:anchor distT="0" distB="0" distL="114300" distR="114300" simplePos="0" relativeHeight="251662336" behindDoc="0" locked="0" layoutInCell="1" allowOverlap="1">
                  <wp:simplePos x="0" y="0"/>
                  <wp:positionH relativeFrom="column">
                    <wp:posOffset>102235</wp:posOffset>
                  </wp:positionH>
                  <wp:positionV relativeFrom="paragraph">
                    <wp:posOffset>2016125</wp:posOffset>
                  </wp:positionV>
                  <wp:extent cx="4681855" cy="3074035"/>
                  <wp:effectExtent l="0" t="0" r="4445" b="1206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4681855" cy="307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8" w:hRule="atLeast"/>
          <w:jc w:val="center"/>
        </w:trPr>
        <w:tc>
          <w:tcPr>
            <w:tcW w:w="1325" w:type="dxa"/>
            <w:tcBorders>
              <w:tl2br w:val="nil"/>
              <w:tr2bl w:val="nil"/>
            </w:tcBorders>
            <w:shd w:val="clear" w:color="auto" w:fill="auto"/>
            <w:vAlign w:val="center"/>
          </w:tcPr>
          <w:p>
            <w:pPr>
              <w:pStyle w:val="23"/>
            </w:pPr>
            <w:r>
              <w:t>被评价单位信息反馈情况</w:t>
            </w:r>
          </w:p>
        </w:tc>
        <w:tc>
          <w:tcPr>
            <w:tcW w:w="8029" w:type="dxa"/>
            <w:gridSpan w:val="3"/>
            <w:tcBorders>
              <w:tl2br w:val="nil"/>
              <w:tr2bl w:val="nil"/>
            </w:tcBorders>
            <w:shd w:val="clear" w:color="auto" w:fill="auto"/>
            <w:vAlign w:val="center"/>
          </w:tcPr>
          <w:p>
            <w:pPr>
              <w:pStyle w:val="23"/>
            </w:pPr>
            <w:r>
              <w:t>满意</w:t>
            </w:r>
          </w:p>
        </w:tc>
      </w:tr>
    </w:tbl>
    <w:p/>
    <w:p>
      <w:pPr>
        <w:pStyle w:val="21"/>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zYWM3MzQyYjM2YjkxYzRiZTgyZTRhN2Q4YTc4ZTQifQ=="/>
  </w:docVars>
  <w:rsids>
    <w:rsidRoot w:val="794127C3"/>
    <w:rsid w:val="016D5955"/>
    <w:rsid w:val="0224425A"/>
    <w:rsid w:val="025A529E"/>
    <w:rsid w:val="03AE6020"/>
    <w:rsid w:val="03FF4509"/>
    <w:rsid w:val="047339B2"/>
    <w:rsid w:val="071F5EA5"/>
    <w:rsid w:val="09D05E45"/>
    <w:rsid w:val="0D205F98"/>
    <w:rsid w:val="0F291978"/>
    <w:rsid w:val="14D27219"/>
    <w:rsid w:val="15C46BE8"/>
    <w:rsid w:val="15D40BC6"/>
    <w:rsid w:val="164F1596"/>
    <w:rsid w:val="1731694B"/>
    <w:rsid w:val="17F2495D"/>
    <w:rsid w:val="17F6044A"/>
    <w:rsid w:val="18102676"/>
    <w:rsid w:val="19D13C3F"/>
    <w:rsid w:val="1C493F58"/>
    <w:rsid w:val="1C71170A"/>
    <w:rsid w:val="1E566E09"/>
    <w:rsid w:val="22742B9E"/>
    <w:rsid w:val="22D84892"/>
    <w:rsid w:val="24C774F3"/>
    <w:rsid w:val="25115838"/>
    <w:rsid w:val="25787665"/>
    <w:rsid w:val="27BA21B7"/>
    <w:rsid w:val="27CC5D4D"/>
    <w:rsid w:val="28123A6A"/>
    <w:rsid w:val="2B8C3E6A"/>
    <w:rsid w:val="2CB7029A"/>
    <w:rsid w:val="2D5C205E"/>
    <w:rsid w:val="2DE02A07"/>
    <w:rsid w:val="308C1463"/>
    <w:rsid w:val="31E03A01"/>
    <w:rsid w:val="35656D09"/>
    <w:rsid w:val="36CA6422"/>
    <w:rsid w:val="386E302B"/>
    <w:rsid w:val="3E104487"/>
    <w:rsid w:val="3F135C70"/>
    <w:rsid w:val="3F650802"/>
    <w:rsid w:val="3FB53D1A"/>
    <w:rsid w:val="40BE1BEA"/>
    <w:rsid w:val="41425E44"/>
    <w:rsid w:val="41630D72"/>
    <w:rsid w:val="4213154E"/>
    <w:rsid w:val="43EA5D75"/>
    <w:rsid w:val="458B0E76"/>
    <w:rsid w:val="47484C91"/>
    <w:rsid w:val="475573AE"/>
    <w:rsid w:val="48323DE7"/>
    <w:rsid w:val="48387F4F"/>
    <w:rsid w:val="489E6413"/>
    <w:rsid w:val="4B032D3D"/>
    <w:rsid w:val="4DE77DF5"/>
    <w:rsid w:val="4DFE20BC"/>
    <w:rsid w:val="4EE67D8C"/>
    <w:rsid w:val="4F6B3C13"/>
    <w:rsid w:val="504601D7"/>
    <w:rsid w:val="50893AB4"/>
    <w:rsid w:val="51FC3FE6"/>
    <w:rsid w:val="529817CB"/>
    <w:rsid w:val="540D125C"/>
    <w:rsid w:val="554051FA"/>
    <w:rsid w:val="57D76EFA"/>
    <w:rsid w:val="5915074C"/>
    <w:rsid w:val="5AA355AA"/>
    <w:rsid w:val="5AC0062D"/>
    <w:rsid w:val="5D07484F"/>
    <w:rsid w:val="5D744B4B"/>
    <w:rsid w:val="5DEA76BD"/>
    <w:rsid w:val="5E6F74A3"/>
    <w:rsid w:val="61994610"/>
    <w:rsid w:val="64833355"/>
    <w:rsid w:val="661F0E5C"/>
    <w:rsid w:val="69A9560C"/>
    <w:rsid w:val="6AA954D2"/>
    <w:rsid w:val="6D3C7475"/>
    <w:rsid w:val="6E985C4F"/>
    <w:rsid w:val="6F1E0D65"/>
    <w:rsid w:val="6F332A28"/>
    <w:rsid w:val="705F504D"/>
    <w:rsid w:val="70C64E91"/>
    <w:rsid w:val="71ED62B2"/>
    <w:rsid w:val="72331F17"/>
    <w:rsid w:val="72A4046E"/>
    <w:rsid w:val="73C84F7A"/>
    <w:rsid w:val="75B275F6"/>
    <w:rsid w:val="77147E3D"/>
    <w:rsid w:val="77404120"/>
    <w:rsid w:val="77B84C6C"/>
    <w:rsid w:val="77F16347"/>
    <w:rsid w:val="78C0202A"/>
    <w:rsid w:val="794127C3"/>
    <w:rsid w:val="795D2751"/>
    <w:rsid w:val="79A2436C"/>
    <w:rsid w:val="7D0C1F6C"/>
    <w:rsid w:val="7D9C05F8"/>
    <w:rsid w:val="7EEB5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center"/>
    </w:pPr>
    <w:rPr>
      <w:rFonts w:ascii="Calibri" w:hAnsi="Calibri" w:eastAsia="宋体" w:cs="Times New Roman"/>
      <w:kern w:val="2"/>
      <w:sz w:val="28"/>
      <w:szCs w:val="24"/>
      <w:lang w:val="en-US" w:eastAsia="zh-CN" w:bidi="ar-SA"/>
    </w:rPr>
  </w:style>
  <w:style w:type="paragraph" w:styleId="2">
    <w:name w:val="heading 1"/>
    <w:basedOn w:val="1"/>
    <w:next w:val="1"/>
    <w:autoRedefine/>
    <w:qFormat/>
    <w:uiPriority w:val="0"/>
    <w:pPr>
      <w:keepNext/>
      <w:keepLines/>
      <w:spacing w:before="340" w:beforeLines="0" w:after="330" w:afterLines="0" w:line="576" w:lineRule="auto"/>
      <w:jc w:val="center"/>
      <w:outlineLvl w:val="0"/>
    </w:pPr>
    <w:rPr>
      <w:rFonts w:ascii="Times New Roman" w:hAnsi="Times New Roman" w:eastAsia="宋体"/>
      <w:bCs/>
      <w:kern w:val="44"/>
      <w:sz w:val="28"/>
      <w:szCs w:val="44"/>
    </w:rPr>
  </w:style>
  <w:style w:type="paragraph" w:styleId="3">
    <w:name w:val="heading 2"/>
    <w:basedOn w:val="1"/>
    <w:next w:val="1"/>
    <w:autoRedefine/>
    <w:qFormat/>
    <w:uiPriority w:val="0"/>
    <w:pPr>
      <w:keepNext/>
      <w:keepLines/>
      <w:spacing w:before="260" w:after="140" w:line="416" w:lineRule="auto"/>
      <w:ind w:firstLine="0" w:firstLineChars="0"/>
      <w:outlineLvl w:val="1"/>
    </w:pPr>
    <w:rPr>
      <w:rFonts w:eastAsia="楷体"/>
      <w:b/>
      <w:bCs/>
      <w:szCs w:val="30"/>
    </w:rPr>
  </w:style>
  <w:style w:type="paragraph" w:styleId="4">
    <w:name w:val="heading 3"/>
    <w:basedOn w:val="1"/>
    <w:next w:val="1"/>
    <w:autoRedefine/>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autoRedefine/>
    <w:qFormat/>
    <w:uiPriority w:val="0"/>
    <w:pPr>
      <w:keepNext/>
      <w:outlineLvl w:val="3"/>
    </w:pPr>
    <w:rPr>
      <w:rFonts w:ascii="宋体" w:hAnsi="宋体"/>
      <w:b/>
      <w:szCs w:val="28"/>
    </w:rPr>
  </w:style>
  <w:style w:type="character" w:default="1" w:styleId="18">
    <w:name w:val="Default Paragraph Font"/>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adjustRightInd/>
      <w:snapToGrid/>
      <w:spacing w:line="240" w:lineRule="auto"/>
      <w:ind w:firstLine="420"/>
    </w:pPr>
    <w:rPr>
      <w:sz w:val="21"/>
      <w:szCs w:val="24"/>
    </w:rPr>
  </w:style>
  <w:style w:type="paragraph" w:styleId="7">
    <w:name w:val="Document Map"/>
    <w:basedOn w:val="1"/>
    <w:autoRedefine/>
    <w:qFormat/>
    <w:uiPriority w:val="0"/>
    <w:rPr>
      <w:rFonts w:ascii="宋体"/>
      <w:sz w:val="18"/>
      <w:szCs w:val="18"/>
    </w:rPr>
  </w:style>
  <w:style w:type="paragraph" w:styleId="8">
    <w:name w:val="Body Text"/>
    <w:basedOn w:val="1"/>
    <w:autoRedefine/>
    <w:qFormat/>
    <w:uiPriority w:val="0"/>
    <w:pPr>
      <w:adjustRightInd/>
      <w:snapToGrid/>
      <w:spacing w:after="120" w:line="240" w:lineRule="auto"/>
    </w:pPr>
    <w:rPr>
      <w:sz w:val="21"/>
      <w:szCs w:val="24"/>
    </w:rPr>
  </w:style>
  <w:style w:type="paragraph" w:styleId="9">
    <w:name w:val="Body Text Indent"/>
    <w:basedOn w:val="1"/>
    <w:autoRedefine/>
    <w:unhideWhenUsed/>
    <w:qFormat/>
    <w:uiPriority w:val="99"/>
    <w:pPr>
      <w:spacing w:after="120"/>
      <w:ind w:left="420" w:leftChars="200"/>
    </w:pPr>
  </w:style>
  <w:style w:type="paragraph" w:styleId="10">
    <w:name w:val="Body Text Indent 2"/>
    <w:basedOn w:val="1"/>
    <w:autoRedefine/>
    <w:qFormat/>
    <w:uiPriority w:val="0"/>
    <w:pPr>
      <w:spacing w:after="120" w:afterLines="0" w:afterAutospacing="0" w:line="480" w:lineRule="auto"/>
      <w:ind w:left="420" w:leftChars="200"/>
    </w:pPr>
  </w:style>
  <w:style w:type="paragraph" w:styleId="11">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autoRedefine/>
    <w:qFormat/>
    <w:uiPriority w:val="0"/>
    <w:pPr>
      <w:spacing w:before="240" w:beforeLines="0" w:after="60" w:afterLines="0" w:line="312" w:lineRule="auto"/>
      <w:jc w:val="center"/>
      <w:outlineLvl w:val="1"/>
    </w:pPr>
    <w:rPr>
      <w:rFonts w:ascii="Cambria" w:hAnsi="Cambria"/>
      <w:b/>
      <w:bCs/>
      <w:kern w:val="28"/>
      <w:sz w:val="32"/>
      <w:szCs w:val="32"/>
    </w:rPr>
  </w:style>
  <w:style w:type="paragraph" w:styleId="13">
    <w:name w:val="Body Text 2"/>
    <w:basedOn w:val="1"/>
    <w:autoRedefine/>
    <w:qFormat/>
    <w:uiPriority w:val="0"/>
    <w:pPr>
      <w:spacing w:after="120" w:line="480" w:lineRule="auto"/>
    </w:pPr>
  </w:style>
  <w:style w:type="paragraph" w:styleId="14">
    <w:name w:val="Title"/>
    <w:basedOn w:val="1"/>
    <w:next w:val="5"/>
    <w:autoRedefine/>
    <w:qFormat/>
    <w:uiPriority w:val="0"/>
    <w:pPr>
      <w:adjustRightInd w:val="0"/>
      <w:jc w:val="center"/>
      <w:textAlignment w:val="baseline"/>
    </w:pPr>
    <w:rPr>
      <w:rFonts w:ascii="宋体"/>
      <w:b/>
      <w:color w:val="000000"/>
      <w:kern w:val="0"/>
      <w:sz w:val="32"/>
      <w:szCs w:val="32"/>
    </w:rPr>
  </w:style>
  <w:style w:type="paragraph" w:styleId="15">
    <w:name w:val="Body Text First Indent"/>
    <w:basedOn w:val="8"/>
    <w:autoRedefine/>
    <w:qFormat/>
    <w:uiPriority w:val="0"/>
    <w:pPr>
      <w:spacing w:after="120"/>
      <w:ind w:firstLine="420" w:firstLineChars="100"/>
    </w:pPr>
  </w:style>
  <w:style w:type="paragraph" w:styleId="16">
    <w:name w:val="Body Text First Indent 2"/>
    <w:basedOn w:val="1"/>
    <w:next w:val="1"/>
    <w:autoRedefine/>
    <w:unhideWhenUsed/>
    <w:qFormat/>
    <w:uiPriority w:val="99"/>
    <w:pPr>
      <w:ind w:firstLine="420" w:firstLineChars="200"/>
    </w:pPr>
  </w:style>
  <w:style w:type="paragraph" w:customStyle="1" w:styleId="19">
    <w:name w:val="正文样式"/>
    <w:basedOn w:val="1"/>
    <w:qFormat/>
    <w:uiPriority w:val="0"/>
    <w:pPr>
      <w:adjustRightInd/>
      <w:snapToGrid/>
    </w:pPr>
    <w:rPr>
      <w:sz w:val="28"/>
      <w:szCs w:val="28"/>
    </w:rPr>
  </w:style>
  <w:style w:type="paragraph" w:customStyle="1" w:styleId="20">
    <w:name w:val="样式 正文文本缩进 + 行距: 1.5 倍行距"/>
    <w:basedOn w:val="1"/>
    <w:autoRedefine/>
    <w:qFormat/>
    <w:uiPriority w:val="0"/>
    <w:pPr>
      <w:spacing w:after="120" w:line="360" w:lineRule="auto"/>
      <w:ind w:left="90" w:leftChars="32" w:firstLine="560" w:firstLineChars="200"/>
    </w:pPr>
    <w:rPr>
      <w:rFonts w:cs="宋体"/>
      <w:sz w:val="24"/>
    </w:rPr>
  </w:style>
  <w:style w:type="paragraph" w:customStyle="1" w:styleId="21">
    <w:name w:val="Body Text 21"/>
    <w:basedOn w:val="1"/>
    <w:autoRedefine/>
    <w:qFormat/>
    <w:uiPriority w:val="0"/>
    <w:pPr>
      <w:adjustRightInd w:val="0"/>
      <w:spacing w:line="312" w:lineRule="atLeast"/>
      <w:jc w:val="center"/>
      <w:textAlignment w:val="baseline"/>
    </w:pPr>
    <w:rPr>
      <w:rFonts w:eastAsia="楷体_GB2312"/>
      <w:kern w:val="0"/>
      <w:sz w:val="28"/>
    </w:rPr>
  </w:style>
  <w:style w:type="paragraph" w:customStyle="1" w:styleId="2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表格"/>
    <w:basedOn w:val="1"/>
    <w:next w:val="1"/>
    <w:autoRedefine/>
    <w:qFormat/>
    <w:uiPriority w:val="0"/>
    <w:pPr>
      <w:adjustRightInd w:val="0"/>
      <w:snapToGrid w:val="0"/>
      <w:jc w:val="both"/>
      <w:textAlignment w:val="baseline"/>
    </w:pPr>
    <w:rPr>
      <w:rFonts w:ascii="宋体" w:hAnsi="宋体"/>
      <w:kern w:val="0"/>
      <w:sz w:val="24"/>
      <w:szCs w:val="20"/>
    </w:rPr>
  </w:style>
  <w:style w:type="paragraph" w:customStyle="1" w:styleId="24">
    <w:name w:val="首行缩进2个字符"/>
    <w:basedOn w:val="1"/>
    <w:autoRedefine/>
    <w:qFormat/>
    <w:uiPriority w:val="0"/>
    <w:pPr>
      <w:ind w:firstLine="200" w:firstLineChars="200"/>
    </w:pPr>
    <w:rPr>
      <w:rFonts w:ascii="宋体"/>
      <w:kern w:val="28"/>
    </w:rPr>
  </w:style>
  <w:style w:type="paragraph" w:customStyle="1" w:styleId="25">
    <w:name w:val="。正文"/>
    <w:basedOn w:val="24"/>
    <w:autoRedefine/>
    <w:qFormat/>
    <w:uiPriority w:val="0"/>
    <w:pPr>
      <w:jc w:val="left"/>
    </w:pPr>
  </w:style>
  <w:style w:type="paragraph" w:customStyle="1" w:styleId="26">
    <w:name w:val="标题试样三"/>
    <w:basedOn w:val="12"/>
    <w:autoRedefine/>
    <w:qFormat/>
    <w:uiPriority w:val="0"/>
    <w:pPr>
      <w:spacing w:before="120" w:beforeLines="0" w:after="0" w:afterLines="0" w:line="360" w:lineRule="auto"/>
      <w:jc w:val="both"/>
    </w:pPr>
    <w:rPr>
      <w:rFonts w:ascii="Times New Roman" w:hAnsi="Times New Roman" w:cs="宋体"/>
      <w:b w:val="0"/>
      <w:bCs w:val="0"/>
      <w:sz w:val="28"/>
      <w:szCs w:val="20"/>
    </w:rPr>
  </w:style>
  <w:style w:type="paragraph" w:customStyle="1" w:styleId="27">
    <w:name w:val="华文中宋"/>
    <w:basedOn w:val="1"/>
    <w:autoRedefine/>
    <w:qFormat/>
    <w:uiPriority w:val="0"/>
    <w:pPr>
      <w:spacing w:line="240" w:lineRule="auto"/>
      <w:ind w:firstLine="0" w:firstLineChars="0"/>
      <w:jc w:val="center"/>
    </w:pPr>
    <w:rPr>
      <w:rFonts w:eastAsia="华文中宋"/>
      <w:color w:val="000000"/>
      <w:kern w:val="0"/>
      <w:sz w:val="52"/>
    </w:rPr>
  </w:style>
  <w:style w:type="paragraph" w:customStyle="1" w:styleId="28">
    <w:name w:val="标题4"/>
    <w:basedOn w:val="1"/>
    <w:next w:val="1"/>
    <w:autoRedefine/>
    <w:qFormat/>
    <w:uiPriority w:val="0"/>
    <w:pPr>
      <w:outlineLvl w:val="2"/>
    </w:pPr>
    <w:rPr>
      <w:szCs w:val="28"/>
    </w:rPr>
  </w:style>
  <w:style w:type="paragraph" w:customStyle="1" w:styleId="29">
    <w:name w:val="黑体居中"/>
    <w:next w:val="14"/>
    <w:autoRedefine/>
    <w:qFormat/>
    <w:uiPriority w:val="0"/>
    <w:pPr>
      <w:adjustRightInd w:val="0"/>
      <w:snapToGrid w:val="0"/>
      <w:spacing w:line="360" w:lineRule="auto"/>
      <w:jc w:val="center"/>
    </w:pPr>
    <w:rPr>
      <w:rFonts w:ascii="黑体" w:hAnsi="黑体" w:eastAsia="黑体" w:cs="黑体"/>
      <w:sz w:val="32"/>
      <w:szCs w:val="32"/>
    </w:rPr>
  </w:style>
  <w:style w:type="paragraph" w:customStyle="1" w:styleId="30">
    <w:name w:val="li_正文"/>
    <w:basedOn w:val="1"/>
    <w:autoRedefine/>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2823</Words>
  <Characters>3216</Characters>
  <Lines>0</Lines>
  <Paragraphs>0</Paragraphs>
  <TotalTime>2</TotalTime>
  <ScaleCrop>false</ScaleCrop>
  <LinksUpToDate>false</LinksUpToDate>
  <CharactersWithSpaces>3228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2023-04-17T07:59:00Z</dcterms:created>
  <dc:creator>Awen</dc:creator>
  <cp:lastModifiedBy>Awen</cp:lastModifiedBy>
  <dcterms:modified xsi:type="dcterms:W3CDTF">2024-05-31T07:04:00Z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D17F5AE8315845F6B266AA8EC2B47602</vt:lpwstr>
  </property>
</Properties>
</file>