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5"/>
        <w:gridCol w:w="1339"/>
        <w:gridCol w:w="4766"/>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1325" w:type="dxa"/>
            <w:tcBorders>
              <w:tl2br w:val="nil"/>
              <w:tr2bl w:val="nil"/>
            </w:tcBorders>
            <w:shd w:val="clear" w:color="auto" w:fill="auto"/>
            <w:vAlign w:val="center"/>
          </w:tcPr>
          <w:p>
            <w:pPr>
              <w:pStyle w:val="23"/>
            </w:pPr>
            <w:r>
              <w:t>项目名称</w:t>
            </w:r>
          </w:p>
        </w:tc>
        <w:tc>
          <w:tcPr>
            <w:tcW w:w="8029" w:type="dxa"/>
            <w:gridSpan w:val="3"/>
            <w:tcBorders>
              <w:tl2br w:val="nil"/>
              <w:tr2bl w:val="nil"/>
            </w:tcBorders>
            <w:shd w:val="clear" w:color="auto" w:fill="auto"/>
            <w:vAlign w:val="center"/>
          </w:tcPr>
          <w:p>
            <w:pPr>
              <w:ind w:firstLine="0" w:firstLineChars="0"/>
              <w:jc w:val="center"/>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安阳市九久化学科技有限公司</w:t>
            </w:r>
          </w:p>
          <w:p>
            <w:pPr>
              <w:ind w:firstLine="0" w:firstLineChars="0"/>
              <w:jc w:val="center"/>
            </w:pPr>
            <w:r>
              <w:rPr>
                <w:rFonts w:hint="eastAsia" w:ascii="宋体" w:hAnsi="宋体" w:eastAsia="宋体" w:cs="Times New Roman"/>
                <w:kern w:val="0"/>
                <w:sz w:val="24"/>
                <w:szCs w:val="20"/>
                <w:lang w:val="en-US" w:eastAsia="zh-CN" w:bidi="ar-SA"/>
              </w:rPr>
              <w:t>氨水项目</w:t>
            </w:r>
            <w:r>
              <w:rPr>
                <w:rFonts w:ascii="宋体" w:hAnsi="宋体" w:eastAsia="宋体" w:cs="Times New Roman"/>
                <w:kern w:val="0"/>
                <w:sz w:val="24"/>
                <w:szCs w:val="20"/>
                <w:lang w:val="en-US" w:eastAsia="zh-CN" w:bidi="ar-SA"/>
              </w:rPr>
              <w:t>安全</w:t>
            </w:r>
            <w:r>
              <w:rPr>
                <w:rFonts w:hint="eastAsia" w:ascii="宋体" w:hAnsi="宋体" w:eastAsia="宋体" w:cs="Times New Roman"/>
                <w:kern w:val="0"/>
                <w:sz w:val="24"/>
                <w:szCs w:val="20"/>
                <w:lang w:val="en-US" w:eastAsia="zh-CN" w:bidi="ar-SA"/>
              </w:rPr>
              <w:t>预</w:t>
            </w:r>
            <w:r>
              <w:rPr>
                <w:rFonts w:ascii="宋体" w:hAnsi="宋体" w:eastAsia="宋体" w:cs="Times New Roman"/>
                <w:kern w:val="0"/>
                <w:sz w:val="24"/>
                <w:szCs w:val="20"/>
                <w:lang w:val="en-US" w:eastAsia="zh-CN" w:bidi="ar-SA"/>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tcBorders>
              <w:tl2br w:val="nil"/>
              <w:tr2bl w:val="nil"/>
            </w:tcBorders>
            <w:shd w:val="clear" w:color="auto" w:fill="auto"/>
            <w:vAlign w:val="center"/>
          </w:tcPr>
          <w:p>
            <w:pPr>
              <w:pStyle w:val="23"/>
            </w:pPr>
            <w:r>
              <w:t>完成时间</w:t>
            </w:r>
          </w:p>
        </w:tc>
        <w:tc>
          <w:tcPr>
            <w:tcW w:w="8029" w:type="dxa"/>
            <w:gridSpan w:val="3"/>
            <w:tcBorders>
              <w:tl2br w:val="nil"/>
              <w:tr2bl w:val="nil"/>
            </w:tcBorders>
            <w:shd w:val="clear" w:color="auto" w:fill="auto"/>
            <w:vAlign w:val="center"/>
          </w:tcPr>
          <w:p>
            <w:pPr>
              <w:widowControl/>
              <w:spacing w:after="150"/>
              <w:jc w:val="center"/>
              <w:rPr>
                <w:rFonts w:hint="default"/>
                <w:lang w:val="en-US"/>
              </w:rPr>
            </w:pPr>
            <w:r>
              <w:rPr>
                <w:rFonts w:hint="eastAsia" w:ascii="宋体" w:hAnsi="宋体" w:cs="宋体"/>
                <w:sz w:val="24"/>
                <w:szCs w:val="24"/>
                <w:lang w:val="en-US" w:eastAsia="zh-CN"/>
              </w:rPr>
              <w:t>2024年01月06日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9354" w:type="dxa"/>
            <w:gridSpan w:val="4"/>
            <w:tcBorders>
              <w:tl2br w:val="nil"/>
              <w:tr2bl w:val="nil"/>
            </w:tcBorders>
            <w:shd w:val="clear" w:color="auto" w:fill="auto"/>
            <w:vAlign w:val="center"/>
          </w:tcPr>
          <w:p>
            <w:pPr>
              <w:pStyle w:val="23"/>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pStyle w:val="23"/>
              <w:jc w:val="center"/>
            </w:pPr>
            <w:r>
              <w:t>姓名</w:t>
            </w:r>
          </w:p>
        </w:tc>
        <w:tc>
          <w:tcPr>
            <w:tcW w:w="4766" w:type="dxa"/>
            <w:tcBorders>
              <w:tl2br w:val="nil"/>
              <w:tr2bl w:val="nil"/>
            </w:tcBorders>
            <w:shd w:val="clear" w:color="auto" w:fill="auto"/>
            <w:vAlign w:val="center"/>
          </w:tcPr>
          <w:p>
            <w:pPr>
              <w:pStyle w:val="23"/>
              <w:jc w:val="center"/>
            </w:pPr>
            <w:r>
              <w:t>资格证书号</w:t>
            </w:r>
          </w:p>
        </w:tc>
        <w:tc>
          <w:tcPr>
            <w:tcW w:w="1924" w:type="dxa"/>
            <w:tcBorders>
              <w:tl2br w:val="nil"/>
              <w:tr2bl w:val="nil"/>
            </w:tcBorders>
            <w:shd w:val="clear" w:color="auto" w:fill="auto"/>
            <w:vAlign w:val="center"/>
          </w:tcPr>
          <w:p>
            <w:pPr>
              <w:pStyle w:val="23"/>
              <w:jc w:val="cente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1325" w:type="dxa"/>
            <w:tcBorders>
              <w:tl2br w:val="nil"/>
              <w:tr2bl w:val="nil"/>
            </w:tcBorders>
            <w:shd w:val="clear" w:color="auto" w:fill="auto"/>
            <w:vAlign w:val="center"/>
          </w:tcPr>
          <w:p>
            <w:pPr>
              <w:pStyle w:val="23"/>
            </w:pPr>
            <w:r>
              <w:t>项目负责人</w:t>
            </w:r>
          </w:p>
        </w:tc>
        <w:tc>
          <w:tcPr>
            <w:tcW w:w="133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王海龙</w:t>
            </w:r>
          </w:p>
        </w:tc>
        <w:tc>
          <w:tcPr>
            <w:tcW w:w="47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1600000000200965</w:t>
            </w:r>
          </w:p>
        </w:tc>
        <w:tc>
          <w:tcPr>
            <w:tcW w:w="19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030233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1325" w:type="dxa"/>
            <w:vMerge w:val="restart"/>
            <w:tcBorders>
              <w:tl2br w:val="nil"/>
              <w:tr2bl w:val="nil"/>
            </w:tcBorders>
            <w:shd w:val="clear" w:color="auto" w:fill="auto"/>
            <w:vAlign w:val="center"/>
          </w:tcPr>
          <w:p>
            <w:pPr>
              <w:pStyle w:val="23"/>
            </w:pPr>
            <w:r>
              <w:t>项目组成员</w:t>
            </w:r>
          </w:p>
        </w:tc>
        <w:tc>
          <w:tcPr>
            <w:tcW w:w="133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陈武斌</w:t>
            </w:r>
          </w:p>
        </w:tc>
        <w:tc>
          <w:tcPr>
            <w:tcW w:w="47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1100000000300371</w:t>
            </w:r>
          </w:p>
        </w:tc>
        <w:tc>
          <w:tcPr>
            <w:tcW w:w="19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vMerge w:val="continue"/>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sz w:val="24"/>
                <w:lang w:val="en-US" w:eastAsia="zh-CN"/>
              </w:rPr>
            </w:pPr>
            <w:r>
              <w:rPr>
                <w:rFonts w:hint="eastAsia" w:cs="Times New Roman"/>
                <w:sz w:val="24"/>
                <w:lang w:val="en-US" w:eastAsia="zh-CN"/>
              </w:rPr>
              <w:t>岳强</w:t>
            </w:r>
          </w:p>
        </w:tc>
        <w:tc>
          <w:tcPr>
            <w:tcW w:w="4766"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sz w:val="24"/>
                <w:lang w:val="en-US" w:eastAsia="zh-CN"/>
              </w:rPr>
            </w:pPr>
            <w:r>
              <w:rPr>
                <w:rFonts w:hint="default" w:ascii="Times New Roman" w:hAnsi="Times New Roman" w:cs="Times New Roman"/>
                <w:sz w:val="24"/>
                <w:lang w:val="en-US" w:eastAsia="zh-CN"/>
              </w:rPr>
              <w:t>0800000000102212</w:t>
            </w:r>
          </w:p>
        </w:tc>
        <w:tc>
          <w:tcPr>
            <w:tcW w:w="1924"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sz w:val="24"/>
                <w:lang w:val="en-US" w:eastAsia="zh-CN"/>
              </w:rPr>
            </w:pPr>
            <w:r>
              <w:rPr>
                <w:rFonts w:hint="default" w:ascii="Times New Roman" w:hAnsi="Times New Roman" w:cs="Times New Roman"/>
                <w:sz w:val="24"/>
                <w:lang w:val="en-US"/>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vMerge w:val="continue"/>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申文杰</w:t>
            </w:r>
          </w:p>
        </w:tc>
        <w:tc>
          <w:tcPr>
            <w:tcW w:w="47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S011041000110202001639</w:t>
            </w:r>
          </w:p>
        </w:tc>
        <w:tc>
          <w:tcPr>
            <w:tcW w:w="19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042459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vMerge w:val="continue"/>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sz w:val="24"/>
                <w:lang w:val="en-US" w:eastAsia="zh-CN"/>
              </w:rPr>
            </w:pPr>
            <w:r>
              <w:rPr>
                <w:rFonts w:hint="eastAsia" w:cs="Times New Roman"/>
                <w:sz w:val="24"/>
                <w:lang w:val="en-US" w:eastAsia="zh-CN"/>
              </w:rPr>
              <w:t>韦根远</w:t>
            </w:r>
          </w:p>
        </w:tc>
        <w:tc>
          <w:tcPr>
            <w:tcW w:w="4766" w:type="dxa"/>
            <w:tcBorders>
              <w:tl2br w:val="nil"/>
              <w:tr2bl w:val="nil"/>
            </w:tcBorders>
            <w:shd w:val="clear" w:color="auto" w:fill="auto"/>
            <w:vAlign w:val="center"/>
          </w:tcPr>
          <w:p>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lang w:val="en-US" w:eastAsia="zh-CN" w:bidi="ar-SA"/>
              </w:rPr>
              <w:t>S011044000110191001083</w:t>
            </w:r>
          </w:p>
        </w:tc>
        <w:tc>
          <w:tcPr>
            <w:tcW w:w="1924" w:type="dxa"/>
            <w:tcBorders>
              <w:tl2br w:val="nil"/>
              <w:tr2bl w:val="nil"/>
            </w:tcBorders>
            <w:shd w:val="clear" w:color="auto" w:fill="auto"/>
            <w:vAlign w:val="center"/>
          </w:tcPr>
          <w:p>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lang w:val="en-US" w:eastAsia="zh-CN" w:bidi="ar-SA"/>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1325" w:type="dxa"/>
            <w:tcBorders>
              <w:tl2br w:val="nil"/>
              <w:tr2bl w:val="nil"/>
            </w:tcBorders>
            <w:shd w:val="clear" w:color="auto" w:fill="auto"/>
            <w:vAlign w:val="center"/>
          </w:tcPr>
          <w:p>
            <w:pPr>
              <w:pStyle w:val="23"/>
            </w:pPr>
            <w:r>
              <w:t>技术专家</w:t>
            </w:r>
          </w:p>
        </w:tc>
        <w:tc>
          <w:tcPr>
            <w:tcW w:w="8029" w:type="dxa"/>
            <w:gridSpan w:val="3"/>
            <w:tcBorders>
              <w:tl2br w:val="nil"/>
              <w:tr2bl w:val="nil"/>
            </w:tcBorders>
            <w:shd w:val="clear" w:color="auto" w:fill="auto"/>
            <w:vAlign w:val="center"/>
          </w:tcPr>
          <w:p>
            <w:pPr>
              <w:pStyle w:val="2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tcBorders>
              <w:tl2br w:val="nil"/>
              <w:tr2bl w:val="nil"/>
            </w:tcBorders>
            <w:shd w:val="clear" w:color="auto" w:fill="auto"/>
            <w:vAlign w:val="center"/>
          </w:tcPr>
          <w:p>
            <w:pPr>
              <w:pStyle w:val="23"/>
            </w:pPr>
            <w:r>
              <w:t>现场勘察人员及时间</w:t>
            </w:r>
          </w:p>
        </w:tc>
        <w:tc>
          <w:tcPr>
            <w:tcW w:w="8029" w:type="dxa"/>
            <w:gridSpan w:val="3"/>
            <w:tcBorders>
              <w:tl2br w:val="nil"/>
              <w:tr2bl w:val="nil"/>
            </w:tcBorders>
            <w:shd w:val="clear" w:color="auto" w:fill="auto"/>
            <w:vAlign w:val="center"/>
          </w:tcPr>
          <w:p>
            <w:pPr>
              <w:widowControl/>
              <w:spacing w:after="150"/>
              <w:jc w:val="both"/>
            </w:pPr>
            <w:r>
              <w:rPr>
                <w:rFonts w:hint="eastAsia" w:ascii="宋体" w:hAnsi="宋体" w:cs="宋体"/>
                <w:sz w:val="24"/>
                <w:szCs w:val="24"/>
                <w:lang w:val="en-US" w:eastAsia="zh-CN"/>
              </w:rPr>
              <w:t>王海龙、申文杰；2023年09月 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25" w:type="dxa"/>
            <w:tcBorders>
              <w:tl2br w:val="nil"/>
              <w:tr2bl w:val="nil"/>
            </w:tcBorders>
            <w:shd w:val="clear" w:color="auto" w:fill="auto"/>
            <w:vAlign w:val="center"/>
          </w:tcPr>
          <w:p>
            <w:pPr>
              <w:pStyle w:val="23"/>
            </w:pPr>
            <w:r>
              <w:rPr>
                <w:rFonts w:hint="eastAsia"/>
              </w:rPr>
              <w:t>现场核查的人员和时间</w:t>
            </w:r>
          </w:p>
        </w:tc>
        <w:tc>
          <w:tcPr>
            <w:tcW w:w="8029" w:type="dxa"/>
            <w:gridSpan w:val="3"/>
            <w:tcBorders>
              <w:tl2br w:val="nil"/>
              <w:tr2bl w:val="nil"/>
            </w:tcBorders>
            <w:shd w:val="clear" w:color="auto" w:fill="auto"/>
            <w:vAlign w:val="center"/>
          </w:tcPr>
          <w:p>
            <w:pPr>
              <w:widowControl/>
              <w:spacing w:after="150"/>
              <w:jc w:val="both"/>
              <w:rPr>
                <w:rFonts w:hint="default" w:eastAsia="宋体"/>
                <w:lang w:val="en-US" w:eastAsia="zh-CN"/>
              </w:rPr>
            </w:pPr>
            <w:r>
              <w:rPr>
                <w:rFonts w:hint="eastAsia" w:ascii="宋体" w:hAnsi="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25" w:type="dxa"/>
            <w:tcBorders>
              <w:tl2br w:val="nil"/>
              <w:tr2bl w:val="nil"/>
            </w:tcBorders>
            <w:shd w:val="clear" w:color="auto" w:fill="auto"/>
            <w:vAlign w:val="center"/>
          </w:tcPr>
          <w:p>
            <w:pPr>
              <w:pStyle w:val="23"/>
            </w:pPr>
            <w:r>
              <w:t>项目简介</w:t>
            </w:r>
          </w:p>
        </w:tc>
        <w:tc>
          <w:tcPr>
            <w:tcW w:w="8029" w:type="dxa"/>
            <w:gridSpan w:val="3"/>
            <w:tcBorders>
              <w:tl2br w:val="nil"/>
              <w:tr2bl w:val="nil"/>
            </w:tcBorders>
            <w:shd w:val="clear" w:color="auto" w:fill="auto"/>
          </w:tcPr>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安阳九久化学科技有限公司成立于2013年5月27日，公司注册资本：8163.27万元整，企业类型为有限责任公司（中外合资），法定代表人马中洲，地址位于安阳县水冶镇天池村大白公路西侧。企业主要经营范围：保险粉（连二亚硫酸钠）、二氧化硫、硫酸的生产和经营及相关技术服务；化工产品（不含易燃易爆及危险化学品）的销售；经营范围内的进出口业务。（依法须经批准的项目，经相关部门批准后方可开展经营活动）。</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 xml:space="preserve">液氨通过气动调阀控制流量定量进入氨水制备器，软化水通过气动调阀控制流量定量进入氨水制备器。液氨在氨水制备器里面和软化水一部分直接生成氨水，一部分和软化水间接换热汽化生成氨气，氨气和软化水在反应室吸收反应生成氨水，并放出大量的热，氨水溶液流入冷凝器，大部分热量由冷却水带走。从冷却水换热器出来的氨水温度约 30~40℃左右，经过原有管廊的管道输送至氨水储罐。 </w:t>
            </w:r>
          </w:p>
          <w:p>
            <w:pPr>
              <w:spacing w:line="520" w:lineRule="exact"/>
              <w:ind w:firstLine="560"/>
              <w:jc w:val="left"/>
              <w:rPr>
                <w:rFonts w:hint="eastAsia"/>
                <w:lang w:val="en-US" w:eastAsia="zh-CN"/>
              </w:rPr>
            </w:pPr>
            <w:r>
              <w:rPr>
                <w:rFonts w:hint="eastAsia" w:ascii="宋体" w:hAnsi="宋体" w:eastAsia="宋体" w:cs="Times New Roman"/>
                <w:kern w:val="0"/>
                <w:sz w:val="24"/>
                <w:szCs w:val="20"/>
                <w:lang w:val="en-US" w:eastAsia="zh-CN" w:bidi="ar-SA"/>
              </w:rPr>
              <w:t>在氨水出口管道上有氨水的温度和密度测量装置，根据测得的氨水温度密度，来控制氨和水的流量，从而获得一定浓度的氨水。从氨水制备器出来的氨水可以依靠自身的压力到达氨水储罐，氨水装车时通过氨水装车泵将储罐区氨水储罐中的氨水打入车载储罐中，车载储罐中含氨废气通过鹤管回收至氨水罐。氨水储罐中蒸发的氨气通过呼吸阀经过厂区原有管线接入尾气吸收塔后溶于水中收集到氨水制备器循环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14" w:hRule="atLeast"/>
          <w:jc w:val="center"/>
        </w:trPr>
        <w:tc>
          <w:tcPr>
            <w:tcW w:w="1325" w:type="dxa"/>
            <w:tcBorders>
              <w:tl2br w:val="nil"/>
              <w:tr2bl w:val="nil"/>
            </w:tcBorders>
            <w:shd w:val="clear" w:color="auto" w:fill="auto"/>
            <w:vAlign w:val="center"/>
          </w:tcPr>
          <w:p>
            <w:pPr>
              <w:pStyle w:val="23"/>
              <w:jc w:val="center"/>
            </w:pPr>
            <w:r>
              <w:t>现场照片</w:t>
            </w:r>
          </w:p>
        </w:tc>
        <w:tc>
          <w:tcPr>
            <w:tcW w:w="8029" w:type="dxa"/>
            <w:gridSpan w:val="3"/>
            <w:tcBorders>
              <w:tl2br w:val="nil"/>
              <w:tr2bl w:val="nil"/>
            </w:tcBorders>
            <w:shd w:val="clear" w:color="auto" w:fill="auto"/>
          </w:tcPr>
          <w:p>
            <w:pPr>
              <w:pStyle w:val="17"/>
              <w:snapToGrid w:val="0"/>
              <w:spacing w:after="0"/>
              <w:ind w:left="0" w:leftChars="0" w:firstLine="0" w:firstLineChars="0"/>
              <w:jc w:val="both"/>
              <w:rPr>
                <w:sz w:val="21"/>
                <w:szCs w:val="21"/>
              </w:rPr>
            </w:pPr>
            <w:r>
              <w:drawing>
                <wp:anchor distT="0" distB="0" distL="114300" distR="114300" simplePos="0" relativeHeight="251659264" behindDoc="0" locked="0" layoutInCell="1" allowOverlap="1">
                  <wp:simplePos x="0" y="0"/>
                  <wp:positionH relativeFrom="column">
                    <wp:posOffset>34290</wp:posOffset>
                  </wp:positionH>
                  <wp:positionV relativeFrom="paragraph">
                    <wp:posOffset>27940</wp:posOffset>
                  </wp:positionV>
                  <wp:extent cx="5015230" cy="3133725"/>
                  <wp:effectExtent l="0" t="0" r="1397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015230" cy="3133725"/>
                          </a:xfrm>
                          <a:prstGeom prst="rect">
                            <a:avLst/>
                          </a:prstGeom>
                          <a:noFill/>
                          <a:ln>
                            <a:noFill/>
                          </a:ln>
                        </pic:spPr>
                      </pic:pic>
                    </a:graphicData>
                  </a:graphic>
                </wp:anchor>
              </w:drawing>
            </w:r>
            <w:r>
              <w:rPr>
                <w:rFonts w:hint="eastAsia"/>
                <w:sz w:val="21"/>
                <w:szCs w:val="21"/>
              </w:rPr>
              <w:t xml:space="preserve"> </w:t>
            </w:r>
          </w:p>
          <w:p>
            <w:pPr>
              <w:pStyle w:val="16"/>
              <w:snapToGrid w:val="0"/>
              <w:ind w:firstLine="0" w:firstLineChars="0"/>
              <w:jc w:val="both"/>
            </w:pPr>
            <w:r>
              <w:t xml:space="preserve"> </w:t>
            </w:r>
          </w:p>
          <w:p>
            <w:pPr>
              <w:pStyle w:val="16"/>
              <w:snapToGrid w:val="0"/>
              <w:ind w:firstLine="0" w:firstLineChars="0"/>
              <w:jc w:val="both"/>
              <w:rPr>
                <w:rFonts w:hint="eastAsia" w:eastAsia="宋体"/>
                <w:lang w:eastAsia="zh-CN"/>
              </w:rPr>
            </w:pPr>
            <w:r>
              <w:t xml:space="preserve"> </w:t>
            </w:r>
          </w:p>
          <w:p>
            <w:pPr>
              <w:pStyle w:val="16"/>
              <w:snapToGrid w:val="0"/>
              <w:ind w:firstLine="0" w:firstLineChars="0"/>
              <w:jc w:val="both"/>
              <w:rPr>
                <w:rFonts w:hint="eastAsia" w:eastAsia="宋体"/>
                <w:lang w:eastAsia="zh-CN"/>
              </w:rPr>
            </w:pPr>
            <w:r>
              <w:t xml:space="preserve"> </w:t>
            </w:r>
          </w:p>
          <w:p>
            <w:pPr>
              <w:pStyle w:val="16"/>
              <w:snapToGrid w:val="0"/>
              <w:ind w:firstLine="0" w:firstLineChars="0"/>
              <w:jc w:val="both"/>
              <w:rPr>
                <w:rFonts w:hint="eastAsia" w:eastAsia="宋体"/>
                <w:lang w:eastAsia="zh-CN"/>
              </w:rPr>
            </w:pPr>
          </w:p>
          <w:p>
            <w:pPr>
              <w:pStyle w:val="16"/>
              <w:snapToGrid w:val="0"/>
              <w:ind w:firstLine="0" w:firstLineChars="0"/>
              <w:jc w:val="both"/>
              <w:rPr>
                <w:rFonts w:hint="eastAsia" w:eastAsia="宋体"/>
                <w:lang w:eastAsia="zh-CN"/>
              </w:rPr>
            </w:pPr>
            <w:r>
              <w:drawing>
                <wp:anchor distT="0" distB="0" distL="114300" distR="114300" simplePos="0" relativeHeight="251660288" behindDoc="0" locked="0" layoutInCell="1" allowOverlap="1">
                  <wp:simplePos x="0" y="0"/>
                  <wp:positionH relativeFrom="column">
                    <wp:posOffset>69215</wp:posOffset>
                  </wp:positionH>
                  <wp:positionV relativeFrom="paragraph">
                    <wp:posOffset>2069465</wp:posOffset>
                  </wp:positionV>
                  <wp:extent cx="4985385" cy="2891155"/>
                  <wp:effectExtent l="0" t="0" r="571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985385" cy="28911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0" w:hRule="atLeast"/>
          <w:jc w:val="center"/>
        </w:trPr>
        <w:tc>
          <w:tcPr>
            <w:tcW w:w="1325" w:type="dxa"/>
            <w:tcBorders>
              <w:tl2br w:val="nil"/>
              <w:tr2bl w:val="nil"/>
            </w:tcBorders>
            <w:shd w:val="clear" w:color="auto" w:fill="auto"/>
            <w:vAlign w:val="center"/>
          </w:tcPr>
          <w:p>
            <w:pPr>
              <w:pStyle w:val="23"/>
            </w:pPr>
            <w:r>
              <w:t>被评价单位信息反馈情况</w:t>
            </w:r>
          </w:p>
        </w:tc>
        <w:tc>
          <w:tcPr>
            <w:tcW w:w="8029" w:type="dxa"/>
            <w:gridSpan w:val="3"/>
            <w:tcBorders>
              <w:tl2br w:val="nil"/>
              <w:tr2bl w:val="nil"/>
            </w:tcBorders>
            <w:shd w:val="clear" w:color="auto" w:fill="auto"/>
            <w:vAlign w:val="center"/>
          </w:tcPr>
          <w:p>
            <w:pPr>
              <w:pStyle w:val="23"/>
            </w:pPr>
            <w:r>
              <w:t>满意</w:t>
            </w:r>
          </w:p>
        </w:tc>
      </w:tr>
    </w:tbl>
    <w:p>
      <w:pPr>
        <w:pageBreakBefore/>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5"/>
        <w:gridCol w:w="1339"/>
        <w:gridCol w:w="4766"/>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1325" w:type="dxa"/>
            <w:tcBorders>
              <w:tl2br w:val="nil"/>
              <w:tr2bl w:val="nil"/>
            </w:tcBorders>
            <w:shd w:val="clear" w:color="auto" w:fill="auto"/>
            <w:vAlign w:val="center"/>
          </w:tcPr>
          <w:p>
            <w:pPr>
              <w:pStyle w:val="23"/>
            </w:pPr>
            <w:r>
              <w:t>项目名称</w:t>
            </w:r>
          </w:p>
        </w:tc>
        <w:tc>
          <w:tcPr>
            <w:tcW w:w="8029" w:type="dxa"/>
            <w:gridSpan w:val="3"/>
            <w:tcBorders>
              <w:tl2br w:val="nil"/>
              <w:tr2bl w:val="nil"/>
            </w:tcBorders>
            <w:shd w:val="clear" w:color="auto" w:fill="auto"/>
            <w:vAlign w:val="center"/>
          </w:tcPr>
          <w:p>
            <w:pPr>
              <w:ind w:firstLine="0" w:firstLineChars="0"/>
              <w:jc w:val="center"/>
              <w:rPr>
                <w:rFonts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河南永丰化工有限公司</w:t>
            </w:r>
          </w:p>
          <w:p>
            <w:pPr>
              <w:ind w:firstLine="0" w:firstLineChars="0"/>
              <w:jc w:val="center"/>
            </w:pPr>
            <w:r>
              <w:rPr>
                <w:rFonts w:hint="eastAsia" w:ascii="宋体" w:hAnsi="宋体" w:eastAsia="宋体" w:cs="Times New Roman"/>
                <w:kern w:val="0"/>
                <w:sz w:val="24"/>
                <w:szCs w:val="20"/>
                <w:lang w:val="en-US" w:eastAsia="zh-CN" w:bidi="ar-SA"/>
              </w:rPr>
              <w:t>年产100吨吡唑酸项目</w:t>
            </w:r>
            <w:r>
              <w:rPr>
                <w:rFonts w:ascii="宋体" w:hAnsi="宋体" w:eastAsia="宋体" w:cs="Times New Roman"/>
                <w:kern w:val="0"/>
                <w:sz w:val="24"/>
                <w:szCs w:val="20"/>
                <w:lang w:val="en-US" w:eastAsia="zh-CN" w:bidi="ar-SA"/>
              </w:rPr>
              <w:t>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tcBorders>
              <w:tl2br w:val="nil"/>
              <w:tr2bl w:val="nil"/>
            </w:tcBorders>
            <w:shd w:val="clear" w:color="auto" w:fill="auto"/>
            <w:vAlign w:val="center"/>
          </w:tcPr>
          <w:p>
            <w:pPr>
              <w:pStyle w:val="23"/>
            </w:pPr>
            <w:r>
              <w:t>完成时间</w:t>
            </w:r>
          </w:p>
        </w:tc>
        <w:tc>
          <w:tcPr>
            <w:tcW w:w="8029" w:type="dxa"/>
            <w:gridSpan w:val="3"/>
            <w:tcBorders>
              <w:tl2br w:val="nil"/>
              <w:tr2bl w:val="nil"/>
            </w:tcBorders>
            <w:shd w:val="clear" w:color="auto" w:fill="auto"/>
            <w:vAlign w:val="center"/>
          </w:tcPr>
          <w:p>
            <w:pPr>
              <w:widowControl/>
              <w:spacing w:after="150"/>
              <w:jc w:val="center"/>
              <w:rPr>
                <w:rFonts w:hint="default"/>
                <w:lang w:val="en-US"/>
              </w:rPr>
            </w:pPr>
            <w:r>
              <w:rPr>
                <w:rFonts w:hint="eastAsia" w:ascii="宋体" w:hAnsi="宋体" w:cs="宋体"/>
                <w:sz w:val="24"/>
                <w:szCs w:val="24"/>
                <w:lang w:val="en-US" w:eastAsia="zh-CN"/>
              </w:rPr>
              <w:t>2024年01月16日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9354" w:type="dxa"/>
            <w:gridSpan w:val="4"/>
            <w:tcBorders>
              <w:tl2br w:val="nil"/>
              <w:tr2bl w:val="nil"/>
            </w:tcBorders>
            <w:shd w:val="clear" w:color="auto" w:fill="auto"/>
            <w:vAlign w:val="center"/>
          </w:tcPr>
          <w:p>
            <w:pPr>
              <w:pStyle w:val="23"/>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pStyle w:val="23"/>
              <w:jc w:val="center"/>
            </w:pPr>
            <w:r>
              <w:t>姓名</w:t>
            </w:r>
          </w:p>
        </w:tc>
        <w:tc>
          <w:tcPr>
            <w:tcW w:w="4766" w:type="dxa"/>
            <w:tcBorders>
              <w:tl2br w:val="nil"/>
              <w:tr2bl w:val="nil"/>
            </w:tcBorders>
            <w:shd w:val="clear" w:color="auto" w:fill="auto"/>
            <w:vAlign w:val="center"/>
          </w:tcPr>
          <w:p>
            <w:pPr>
              <w:pStyle w:val="23"/>
              <w:jc w:val="center"/>
            </w:pPr>
            <w:r>
              <w:t>资格证书号</w:t>
            </w:r>
          </w:p>
        </w:tc>
        <w:tc>
          <w:tcPr>
            <w:tcW w:w="1924" w:type="dxa"/>
            <w:tcBorders>
              <w:tl2br w:val="nil"/>
              <w:tr2bl w:val="nil"/>
            </w:tcBorders>
            <w:shd w:val="clear" w:color="auto" w:fill="auto"/>
            <w:vAlign w:val="center"/>
          </w:tcPr>
          <w:p>
            <w:pPr>
              <w:pStyle w:val="23"/>
              <w:jc w:val="cente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1325" w:type="dxa"/>
            <w:tcBorders>
              <w:tl2br w:val="nil"/>
              <w:tr2bl w:val="nil"/>
            </w:tcBorders>
            <w:shd w:val="clear" w:color="auto" w:fill="auto"/>
            <w:vAlign w:val="center"/>
          </w:tcPr>
          <w:p>
            <w:pPr>
              <w:pStyle w:val="23"/>
            </w:pPr>
            <w:r>
              <w:t>项目负责人</w:t>
            </w:r>
          </w:p>
        </w:tc>
        <w:tc>
          <w:tcPr>
            <w:tcW w:w="133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王海龙</w:t>
            </w:r>
          </w:p>
        </w:tc>
        <w:tc>
          <w:tcPr>
            <w:tcW w:w="47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1600000000200965</w:t>
            </w:r>
          </w:p>
        </w:tc>
        <w:tc>
          <w:tcPr>
            <w:tcW w:w="19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030233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1325" w:type="dxa"/>
            <w:vMerge w:val="restart"/>
            <w:tcBorders>
              <w:tl2br w:val="nil"/>
              <w:tr2bl w:val="nil"/>
            </w:tcBorders>
            <w:shd w:val="clear" w:color="auto" w:fill="auto"/>
            <w:vAlign w:val="center"/>
          </w:tcPr>
          <w:p>
            <w:pPr>
              <w:pStyle w:val="23"/>
            </w:pPr>
            <w:r>
              <w:t>项目组成员</w:t>
            </w:r>
          </w:p>
        </w:tc>
        <w:tc>
          <w:tcPr>
            <w:tcW w:w="133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陈武斌</w:t>
            </w:r>
          </w:p>
        </w:tc>
        <w:tc>
          <w:tcPr>
            <w:tcW w:w="47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1100000000300371</w:t>
            </w:r>
          </w:p>
        </w:tc>
        <w:tc>
          <w:tcPr>
            <w:tcW w:w="19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vMerge w:val="continue"/>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sz w:val="24"/>
                <w:lang w:val="en-US" w:eastAsia="zh-CN"/>
              </w:rPr>
            </w:pPr>
            <w:r>
              <w:rPr>
                <w:rFonts w:hint="eastAsia" w:cs="Times New Roman"/>
                <w:sz w:val="24"/>
                <w:lang w:val="en-US" w:eastAsia="zh-CN"/>
              </w:rPr>
              <w:t>岳强</w:t>
            </w:r>
          </w:p>
        </w:tc>
        <w:tc>
          <w:tcPr>
            <w:tcW w:w="4766"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sz w:val="24"/>
                <w:lang w:val="en-US" w:eastAsia="zh-CN"/>
              </w:rPr>
            </w:pPr>
            <w:r>
              <w:rPr>
                <w:rFonts w:hint="default" w:ascii="Times New Roman" w:hAnsi="Times New Roman" w:cs="Times New Roman"/>
                <w:sz w:val="24"/>
                <w:lang w:val="en-US" w:eastAsia="zh-CN"/>
              </w:rPr>
              <w:t>0800000000102212</w:t>
            </w:r>
          </w:p>
        </w:tc>
        <w:tc>
          <w:tcPr>
            <w:tcW w:w="1924"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sz w:val="24"/>
                <w:lang w:val="en-US" w:eastAsia="zh-CN"/>
              </w:rPr>
            </w:pPr>
            <w:r>
              <w:rPr>
                <w:rFonts w:hint="default" w:ascii="Times New Roman" w:hAnsi="Times New Roman" w:cs="Times New Roman"/>
                <w:sz w:val="24"/>
                <w:lang w:val="en-US"/>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vMerge w:val="continue"/>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申文杰</w:t>
            </w:r>
          </w:p>
        </w:tc>
        <w:tc>
          <w:tcPr>
            <w:tcW w:w="47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S011041000110202001639</w:t>
            </w:r>
          </w:p>
        </w:tc>
        <w:tc>
          <w:tcPr>
            <w:tcW w:w="19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042459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vMerge w:val="continue"/>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sz w:val="24"/>
                <w:lang w:val="en-US" w:eastAsia="zh-CN"/>
              </w:rPr>
            </w:pPr>
            <w:r>
              <w:rPr>
                <w:rFonts w:hint="eastAsia" w:cs="Times New Roman"/>
                <w:sz w:val="24"/>
                <w:lang w:val="en-US" w:eastAsia="zh-CN"/>
              </w:rPr>
              <w:t>韦根远</w:t>
            </w:r>
          </w:p>
        </w:tc>
        <w:tc>
          <w:tcPr>
            <w:tcW w:w="4766" w:type="dxa"/>
            <w:tcBorders>
              <w:tl2br w:val="nil"/>
              <w:tr2bl w:val="nil"/>
            </w:tcBorders>
            <w:shd w:val="clear" w:color="auto" w:fill="auto"/>
            <w:vAlign w:val="center"/>
          </w:tcPr>
          <w:p>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lang w:val="en-US" w:eastAsia="zh-CN" w:bidi="ar-SA"/>
              </w:rPr>
              <w:t>S011044000110191001083</w:t>
            </w:r>
          </w:p>
        </w:tc>
        <w:tc>
          <w:tcPr>
            <w:tcW w:w="1924" w:type="dxa"/>
            <w:tcBorders>
              <w:tl2br w:val="nil"/>
              <w:tr2bl w:val="nil"/>
            </w:tcBorders>
            <w:shd w:val="clear" w:color="auto" w:fill="auto"/>
            <w:vAlign w:val="center"/>
          </w:tcPr>
          <w:p>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lang w:val="en-US" w:eastAsia="zh-CN" w:bidi="ar-SA"/>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1325" w:type="dxa"/>
            <w:tcBorders>
              <w:tl2br w:val="nil"/>
              <w:tr2bl w:val="nil"/>
            </w:tcBorders>
            <w:shd w:val="clear" w:color="auto" w:fill="auto"/>
            <w:vAlign w:val="center"/>
          </w:tcPr>
          <w:p>
            <w:pPr>
              <w:pStyle w:val="23"/>
            </w:pPr>
            <w:r>
              <w:t>技术专家</w:t>
            </w:r>
          </w:p>
        </w:tc>
        <w:tc>
          <w:tcPr>
            <w:tcW w:w="8029" w:type="dxa"/>
            <w:gridSpan w:val="3"/>
            <w:tcBorders>
              <w:tl2br w:val="nil"/>
              <w:tr2bl w:val="nil"/>
            </w:tcBorders>
            <w:shd w:val="clear" w:color="auto" w:fill="auto"/>
            <w:vAlign w:val="center"/>
          </w:tcPr>
          <w:p>
            <w:pPr>
              <w:pStyle w:val="2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tcBorders>
              <w:tl2br w:val="nil"/>
              <w:tr2bl w:val="nil"/>
            </w:tcBorders>
            <w:shd w:val="clear" w:color="auto" w:fill="auto"/>
            <w:vAlign w:val="center"/>
          </w:tcPr>
          <w:p>
            <w:pPr>
              <w:pStyle w:val="23"/>
            </w:pPr>
            <w:r>
              <w:t>现场勘察人员及时间</w:t>
            </w:r>
          </w:p>
        </w:tc>
        <w:tc>
          <w:tcPr>
            <w:tcW w:w="8029" w:type="dxa"/>
            <w:gridSpan w:val="3"/>
            <w:tcBorders>
              <w:tl2br w:val="nil"/>
              <w:tr2bl w:val="nil"/>
            </w:tcBorders>
            <w:shd w:val="clear" w:color="auto" w:fill="auto"/>
            <w:vAlign w:val="center"/>
          </w:tcPr>
          <w:p>
            <w:pPr>
              <w:widowControl/>
              <w:spacing w:after="150"/>
              <w:jc w:val="both"/>
            </w:pPr>
            <w:r>
              <w:rPr>
                <w:rFonts w:hint="eastAsia" w:ascii="宋体" w:hAnsi="宋体" w:cs="宋体"/>
                <w:sz w:val="24"/>
                <w:szCs w:val="24"/>
                <w:lang w:val="en-US" w:eastAsia="zh-CN"/>
              </w:rPr>
              <w:t>王海龙、申文杰；2023年11月 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25" w:type="dxa"/>
            <w:tcBorders>
              <w:tl2br w:val="nil"/>
              <w:tr2bl w:val="nil"/>
            </w:tcBorders>
            <w:shd w:val="clear" w:color="auto" w:fill="auto"/>
            <w:vAlign w:val="center"/>
          </w:tcPr>
          <w:p>
            <w:pPr>
              <w:pStyle w:val="23"/>
            </w:pPr>
            <w:r>
              <w:rPr>
                <w:rFonts w:hint="eastAsia"/>
              </w:rPr>
              <w:t>现场核查的人员和时间</w:t>
            </w:r>
          </w:p>
        </w:tc>
        <w:tc>
          <w:tcPr>
            <w:tcW w:w="8029" w:type="dxa"/>
            <w:gridSpan w:val="3"/>
            <w:tcBorders>
              <w:tl2br w:val="nil"/>
              <w:tr2bl w:val="nil"/>
            </w:tcBorders>
            <w:shd w:val="clear" w:color="auto" w:fill="auto"/>
            <w:vAlign w:val="center"/>
          </w:tcPr>
          <w:p>
            <w:pPr>
              <w:widowControl/>
              <w:spacing w:after="150"/>
              <w:jc w:val="both"/>
              <w:rPr>
                <w:rFonts w:hint="default" w:eastAsia="宋体"/>
                <w:lang w:val="en-US" w:eastAsia="zh-CN"/>
              </w:rPr>
            </w:pPr>
            <w:r>
              <w:rPr>
                <w:rFonts w:hint="eastAsia" w:ascii="宋体" w:hAnsi="宋体" w:eastAsia="宋体" w:cs="宋体"/>
                <w:sz w:val="24"/>
                <w:szCs w:val="24"/>
                <w:lang w:val="en-US" w:eastAsia="zh-CN"/>
              </w:rPr>
              <w:t>王海龙、申文杰；2023年12月16日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25" w:type="dxa"/>
            <w:tcBorders>
              <w:tl2br w:val="nil"/>
              <w:tr2bl w:val="nil"/>
            </w:tcBorders>
            <w:shd w:val="clear" w:color="auto" w:fill="auto"/>
            <w:vAlign w:val="center"/>
          </w:tcPr>
          <w:p>
            <w:pPr>
              <w:pStyle w:val="23"/>
            </w:pPr>
            <w:r>
              <w:t>项目简介</w:t>
            </w:r>
          </w:p>
        </w:tc>
        <w:tc>
          <w:tcPr>
            <w:tcW w:w="8029" w:type="dxa"/>
            <w:gridSpan w:val="3"/>
            <w:tcBorders>
              <w:tl2br w:val="nil"/>
              <w:tr2bl w:val="nil"/>
            </w:tcBorders>
            <w:shd w:val="clear" w:color="auto" w:fill="auto"/>
          </w:tcPr>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河南永丰化工有限公司成立于2016年12月29日，位于河南新乡楼村精细化工新材料产业集聚区楼村纬三路和安王路交叉口，公司法人代表杨恒，注册资本壹仟伍佰万圆整，经营范围一般项目：化工产品生产（不含许可类化工产品）；化工产品销售（不含许可类化工产品）；货物进出口（除依法须经批准的项目外，凭营业执照依法自主开展经营活动）许可项目：农药生产；农药批发（依法须经批准的项目，经相关部门批准后方可开展经营活动，具体经营项目以相关部门批准文件或许可证件为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企业生产采用成熟简单的工艺，以肼取代物、马来酸二乙酯为主要原料，通过肼基化、环合、溴代、脱氢消除、水解等生产吡唑酸。</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2.2.4.1肼基化反应工序</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1）工艺流程</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将900kg2,3-二氯吡啶1200kg80%的水合肼（真空系统）加入到3000LR101反应釜中，密闭加料口，打开回流装置，使加入物料在反应釜内回流。打开蒸汽阀门，利用厂区现有锅炉房供汽间接将反应釜物料缓慢升温至100C，保温8h，常压反应。反应过程中出现大量白色针状晶体，即反应产物3-氯-2-肼基吡啶。反应过程中产生的含HC1气体去三级洗涤塔（T701）吸收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反应完成后将反应釜温度降到20-25℃，采用X101离心分离。离心过程产生的含HC1气体三级洗涤塔吸收处理。抽滤得到的母液即含量约45%的水合肼，套用一次后抽滤母液水合肼含量约40%。离心后得到的固体物料送入精馏釜R103，并加入固体氢氧化钠搅拌（与C1-生成氯化钠并保持体系的强碱性，确保精馏过程肼基稳定），进行常压精馏脱水、提浓。精馏釜产生的气相进入精馏塔，塔釜温度约120C，塔顶温度约100C。精馏塔T101侧线采出的80%的水合肼冷凝后回用：精馏塔顶脱出的水分经冷凝后送厂废水站进行处理；精馏釜R103底的残液委托有危废处理资质的单位进行处理。</w:t>
            </w:r>
          </w:p>
          <w:p>
            <w:pPr>
              <w:spacing w:line="520" w:lineRule="exact"/>
              <w:ind w:firstLine="560"/>
              <w:jc w:val="left"/>
              <w:rPr>
                <w:rFonts w:hint="eastAsia" w:ascii="宋体" w:hAnsi="宋体" w:eastAsia="宋体" w:cs="Times New Roman"/>
                <w:kern w:val="0"/>
                <w:sz w:val="24"/>
                <w:szCs w:val="20"/>
                <w:lang w:val="en-US" w:eastAsia="zh-CN" w:bidi="ar-SA"/>
              </w:rPr>
            </w:pPr>
            <w:bookmarkStart w:id="0" w:name="_Toc345227836"/>
            <w:r>
              <w:rPr>
                <w:rFonts w:hint="eastAsia" w:ascii="宋体" w:hAnsi="宋体" w:eastAsia="宋体" w:cs="Times New Roman"/>
                <w:kern w:val="0"/>
                <w:sz w:val="24"/>
                <w:szCs w:val="20"/>
                <w:lang w:val="en-US" w:eastAsia="zh-CN" w:bidi="ar-SA"/>
              </w:rPr>
              <w:t>2）反应过程中产污情况废气：</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肼基化反应釜排气（含HCl）：经三级洗涤吸收塔中和吸收，处理达标后排放。</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离心机排气（含HCl）：经三级洗涤吸收塔中和吸收，处理达标后排放。</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产物烘干废气（含少量粉尘）采用布袋除尘+碱洗处理，达标排放。</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废水：蒸馏水合肼废水：经过精馏塔精馏，自塔顶排出后，经冷凝器冷凝、收集后，回用。</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固废和副产物：</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水合肼精馏釜底残液：主要含氯化钠和少量有机杂质，约353kg/批次，委托有危废处理资质的单位处理。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2.2.4.2</w:t>
            </w:r>
            <w:bookmarkEnd w:id="0"/>
            <w:r>
              <w:rPr>
                <w:rFonts w:hint="eastAsia" w:ascii="宋体" w:hAnsi="宋体" w:eastAsia="宋体" w:cs="Times New Roman"/>
                <w:kern w:val="0"/>
                <w:sz w:val="24"/>
                <w:szCs w:val="20"/>
                <w:lang w:val="en-US" w:eastAsia="zh-CN" w:bidi="ar-SA"/>
              </w:rPr>
              <w:t>环合反应工序</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1）工艺流程</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将455kg乙醇钠乙醇溶液、3500kg99.9%乙醇加入至R201反应釜中，搅拌并投入873kg3-氯-2-肼基吡啶，密闭加料口，打开回流装置，加入物料在反应釜内回流，反应体系的pH值约13。加入1046kg99.9%的马来酸二乙酯，打开蒸汽，反应釜缓慢升温至60C，逐步开始反应（环合反应为放热反应，因此反应温度自然升温至约70℃），保温0.5h，反应完成。</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采用循环水对反应釜进行降温，降温至约60C，加入401kg无水乙酸，中和乙醇钠并调整反应完成液的H值为中性，反应产物呈晶状析出。然后在R202反应釜中进行常压蒸馏，温度约80℃，脱出的乙醇经冷凝后套用。蒸出乙醇后的物料降温至约10℃后，加入约2500kg的水进行洗涤，物料送到离心机X201进行固液分离。分离所得的固体物料送到烘干室进行烘干，得到2-（3-氯-2-肼基吡啶基）5-氧代-3-吡唑甲酸乙酯约1477kg。烘干废气采用布袋除尘+碱洗处理，达标后排放。</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离心母液（属含盐废水，主要含乙酸钠）去蒸发浓缩，蒸馏水循环套用，蒸馏残渣主要为乙酸钠，委托有资质的单位进行处理。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w:t>
            </w:r>
            <w:r>
              <w:rPr>
                <w:rFonts w:hint="eastAsia" w:ascii="宋体" w:hAnsi="宋体" w:eastAsia="宋体" w:cs="Times New Roman"/>
                <w:kern w:val="0"/>
                <w:sz w:val="24"/>
                <w:szCs w:val="20"/>
                <w:lang w:val="en-US" w:eastAsia="zh-CN" w:bidi="ar-SA"/>
              </w:rPr>
              <w:t>）反应过程中产污情况</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废气：反应釜排气，含少量乙醇蒸气，用光氧化催化转化+活性炭吸附处理。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产物烘干废气（含少量粉尘）：采用布袋除尘+碱洗处理，达标排放。</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固废：离心废水蒸馏残渣，主要成分为乙酸钠，委托有资质的单位进行处理。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2.2.4.3溴代反应工序</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（1）溴代反应</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将2-（3-氯-2-肼基吡啶基）-5-氧代-3-吡唑甲酸乙酯、三溴化磷通过无尘投料站加入到3000L反应釜中，将三氯甲烷、液溴通过磁力泵加入到3000L反应釜中，密闭加料口，打开回流装置，加入物料在反应釜内回流。打开蒸汽，反应釜缓慢升温至60℃，常压保温反应12~13h。</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产污环节：溴代反应废气（G8）：溴代反应过程中会有少量三氯甲烷挥发和HBr产生，三氯甲烷经溴代反应釜上方冷凝器一级深冷后回流，冷凝效率95%，不凝气三氯甲烷和HBr进入一级碱液吸收塔处理后，再进入三级碱液吸收装置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（2）中和</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反应完成后，转入分层釜，先加入纯水，然后再通过无尘投料站加入氢氧化钠，调整反应液pH值为中性，加入时间约2~3h。</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产污环节：调酸废气（G9）：中和过程中会有少量HBr产生，进入一级碱液吸收塔处理后，再进入三级碱液吸收装置处理。中和过程在低温下进行，三氯甲烷的挥发量可忽略不计。</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副产溴化钠水溶液：溴代反应废气（G8）和调酸废气（G9）产生的HBr首先进入一级碱液吸收塔，采用30%液碱吸收得到溴化钠水溶液（42.5%），作为副产品外售。</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（3）静置分层</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调整好反应液pH值后，静止分层。通过视中（观察排放液的分层情况）观察，下层的有机相去蒸馏釜；上层水相去单效蒸发器蒸发预处理后，进入厂区现有污水处理站进一步处理。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产污环节：静置分层废水（W4）：分层釜产生的静置分层废水，主要成分为水、三氯甲烷、磷酸钠、次磷酸钠等，经单效蒸发器蒸发预处理后，进入厂区现有污水处理站进一步处理。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（4）蒸馏</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有机相在蒸馏釜内进行常压蒸馏，蒸馏温度约80℃，脱出的三氯甲烷经冷凝后套用。脱完三氯甲烷后脱溶釜内通过磁力泵加入DMF，将物料溶解后，放料，直接送入脱氢消除反应工段。</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产污环节：蒸馏不凝气（G10）：蒸馏釜蒸出的三氯甲烷经二级冷凝（-15℃冷冻冷凝+-25℃深冷）后回收利用，冷凝效率98%，不凝气进入“一级深冷+活性炭吸附装置”处理。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2.2.4.4脱氢消除反应工序</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1）工艺流程</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将1548kg3-溴-1-（3-氯-2-肼基吡啶基）4,5-二氢-1H-吡唑-5-甲酸乙酯、4500kg99.9%DMF投入到R401反应釜中，采用冷冻盐水控制反应温度保持在15-20℃，打开加料口，加入1113kg过硫酸钾。关闭加料口，打开蒸汽，反应釜缓慢升温至78-80℃，常压下反应3h。</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反应完成后，将反应完成液降温到约60℃，去M401板框压滤机压滤，主要成分为硫酸氢钾。滤液去R402减压蒸馏，温度约85C，蒸出的DMF经冷凝器冷凝、收集后套用。脱出DMF的物料降温至约30℃，加入约2500kg的水去R403搅拌洗涤，再经X401离心，离心废水（含盐废水，主要含硫酸氢胺和少量有机杂质）去蒸发浓缩，蒸馏水套用，蒸馏残渣与板框压滤机一起委托有资质单位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离心后的固体物料（3-溴-1-（3-氯-2-肼基吡啶基）-1-氢-吡唑-5-甲酸乙酯）送水解工序。</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2）反应过程中产污情况</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废气：反应釜排气（含DMF蒸气）：采用光氧催化转化+活性炭吸附处理。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固废：板框压滤滤饼及离心废水蒸馏残渣（主要含硫酸残渣）：委托有资质单位处理。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2.2.4.5水解工序</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1）工艺流程</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将1600kg3-溴-1-（3-氯-2-肼基吡啶基）-1-氢-吡唑-5-甲酸乙酯、300kg水加入至R503A/B反应釜中，滴加配好的354kg50%的氢氧化钠溶液。滴加完毕，控制反应釜溶液体系的pH值约13，然后升温，温度控制在60-70℃，反应2.5h，取样中控，合格后循环水冷却降温，然后反应液送到504A/B脱溶釜。在脱溶釜中，用冷冻盐水继续对反应液进行降温，降温到5℃，开始滴加370L浓盐酸，生产目标产物和氯化钠，并调节pH值至2-3，再搅拌2h。由于反应过程放热，需对反应液继续降温，物料去R505，维持反应温度约5℃。</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析出的物料经X502离心机进行固液分离。离心废水（为含盐废水，主要含氯化钠）去蒸发浓缩，蒸馏水套用，蒸馏主要为氯化钠，委托有资质单位进行处理。离心后的固体物料送烘干室进行烘干，得到产品。</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2）反应过程产污情况</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废气：水解反应釜排气（含乙醇蒸气）：采用光氧催化转化+活性炭吸附处理。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烘干废气（含粉尘）：采用布袋除尘+碱洗处理，达标排放。</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固废：离心废水蒸馏残渣（含氯化钠）：委托有资质单位处理。</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2.2.4.6污水处理站工艺</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经过预处理后的废水先进入集水池，用泵抽入微电解氧化塔，再自流进入芬顿氧化中和沉淀池内，投加双氧水、硫酸亚铁，和氢氧化钠中和后进入电絮凝池，经过电解设备加入混凝剂沉淀后的水流入总调节池，沉淀污泥流入污泥浓缩池。在调节池内添加生活污水和其他低浓度污水后提升至UASB罐进行厌氧发酵，自流进入A/O组合反应池，经过好氧处理后的污水进入二沉池，上清液进入终沉池内加入药剂脱色，进入清水池排放。</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污泥处理：化学氧化污泥进入浓缩池，沉淀污泥和好氧剩余污泥也进入浓缩池，经投加PAM调理后进入压滤脱水，作为固废排放。滤液进入调节池继续处理。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43" w:hRule="atLeast"/>
          <w:jc w:val="center"/>
        </w:trPr>
        <w:tc>
          <w:tcPr>
            <w:tcW w:w="1325" w:type="dxa"/>
            <w:tcBorders>
              <w:tl2br w:val="nil"/>
              <w:tr2bl w:val="nil"/>
            </w:tcBorders>
            <w:shd w:val="clear" w:color="auto" w:fill="auto"/>
            <w:vAlign w:val="center"/>
          </w:tcPr>
          <w:p>
            <w:pPr>
              <w:pStyle w:val="23"/>
              <w:jc w:val="center"/>
            </w:pPr>
            <w:r>
              <w:t>现场照片</w:t>
            </w:r>
          </w:p>
        </w:tc>
        <w:tc>
          <w:tcPr>
            <w:tcW w:w="8029" w:type="dxa"/>
            <w:gridSpan w:val="3"/>
            <w:tcBorders>
              <w:tl2br w:val="nil"/>
              <w:tr2bl w:val="nil"/>
            </w:tcBorders>
            <w:shd w:val="clear" w:color="auto" w:fill="auto"/>
          </w:tcPr>
          <w:p>
            <w:pPr>
              <w:pStyle w:val="17"/>
              <w:snapToGrid w:val="0"/>
              <w:spacing w:after="0"/>
              <w:ind w:left="0" w:leftChars="0" w:firstLine="0" w:firstLineChars="0"/>
              <w:jc w:val="both"/>
              <w:rPr>
                <w:sz w:val="21"/>
                <w:szCs w:val="21"/>
              </w:rPr>
            </w:pPr>
            <w:r>
              <w:drawing>
                <wp:anchor distT="0" distB="0" distL="114300" distR="114300" simplePos="0" relativeHeight="251661312" behindDoc="0" locked="0" layoutInCell="1" allowOverlap="1">
                  <wp:simplePos x="0" y="0"/>
                  <wp:positionH relativeFrom="column">
                    <wp:posOffset>60960</wp:posOffset>
                  </wp:positionH>
                  <wp:positionV relativeFrom="paragraph">
                    <wp:posOffset>24130</wp:posOffset>
                  </wp:positionV>
                  <wp:extent cx="4942205" cy="3471545"/>
                  <wp:effectExtent l="0" t="0" r="10795" b="1460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4942205" cy="3471545"/>
                          </a:xfrm>
                          <a:prstGeom prst="rect">
                            <a:avLst/>
                          </a:prstGeom>
                          <a:noFill/>
                          <a:ln>
                            <a:noFill/>
                          </a:ln>
                        </pic:spPr>
                      </pic:pic>
                    </a:graphicData>
                  </a:graphic>
                </wp:anchor>
              </w:drawing>
            </w:r>
            <w:r>
              <w:rPr>
                <w:rFonts w:hint="eastAsia"/>
                <w:sz w:val="21"/>
                <w:szCs w:val="21"/>
              </w:rPr>
              <w:t xml:space="preserve"> </w:t>
            </w:r>
          </w:p>
          <w:p>
            <w:pPr>
              <w:pStyle w:val="16"/>
              <w:snapToGrid w:val="0"/>
              <w:ind w:firstLine="0" w:firstLineChars="0"/>
              <w:jc w:val="both"/>
            </w:pPr>
            <w:r>
              <w:t xml:space="preserve"> </w:t>
            </w:r>
          </w:p>
          <w:p>
            <w:pPr>
              <w:pStyle w:val="16"/>
              <w:snapToGrid w:val="0"/>
              <w:ind w:firstLine="0" w:firstLineChars="0"/>
              <w:jc w:val="both"/>
              <w:rPr>
                <w:rFonts w:hint="eastAsia" w:eastAsia="宋体"/>
                <w:lang w:eastAsia="zh-CN"/>
              </w:rPr>
            </w:pPr>
            <w:r>
              <w:t xml:space="preserve"> </w:t>
            </w:r>
          </w:p>
          <w:p>
            <w:pPr>
              <w:pStyle w:val="16"/>
              <w:snapToGrid w:val="0"/>
              <w:ind w:firstLine="0" w:firstLineChars="0"/>
              <w:jc w:val="both"/>
              <w:rPr>
                <w:rFonts w:hint="eastAsia" w:eastAsia="宋体"/>
                <w:lang w:eastAsia="zh-CN"/>
              </w:rPr>
            </w:pPr>
            <w:r>
              <w:t xml:space="preserve"> </w:t>
            </w:r>
          </w:p>
          <w:p>
            <w:pPr>
              <w:pStyle w:val="16"/>
              <w:snapToGrid w:val="0"/>
              <w:ind w:firstLine="0" w:firstLineChars="0"/>
              <w:jc w:val="both"/>
              <w:rPr>
                <w:rFonts w:hint="eastAsia" w:eastAsia="宋体"/>
                <w:lang w:eastAsia="zh-CN"/>
              </w:rPr>
            </w:pPr>
          </w:p>
          <w:p>
            <w:pPr>
              <w:pStyle w:val="16"/>
              <w:snapToGrid w:val="0"/>
              <w:ind w:firstLine="0" w:firstLineChars="0"/>
              <w:jc w:val="both"/>
              <w:rPr>
                <w:rFonts w:hint="eastAsia" w:eastAsia="宋体"/>
                <w:lang w:eastAsia="zh-CN"/>
              </w:rPr>
            </w:pPr>
            <w:r>
              <w:drawing>
                <wp:anchor distT="0" distB="0" distL="114300" distR="114300" simplePos="0" relativeHeight="251662336" behindDoc="0" locked="0" layoutInCell="1" allowOverlap="1">
                  <wp:simplePos x="0" y="0"/>
                  <wp:positionH relativeFrom="column">
                    <wp:posOffset>60325</wp:posOffset>
                  </wp:positionH>
                  <wp:positionV relativeFrom="paragraph">
                    <wp:posOffset>2432685</wp:posOffset>
                  </wp:positionV>
                  <wp:extent cx="4964430" cy="3435350"/>
                  <wp:effectExtent l="0" t="0" r="7620" b="1270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4964430" cy="3435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8" w:hRule="atLeast"/>
          <w:jc w:val="center"/>
        </w:trPr>
        <w:tc>
          <w:tcPr>
            <w:tcW w:w="1325" w:type="dxa"/>
            <w:tcBorders>
              <w:tl2br w:val="nil"/>
              <w:tr2bl w:val="nil"/>
            </w:tcBorders>
            <w:shd w:val="clear" w:color="auto" w:fill="auto"/>
            <w:vAlign w:val="center"/>
          </w:tcPr>
          <w:p>
            <w:pPr>
              <w:pStyle w:val="23"/>
            </w:pPr>
            <w:r>
              <w:t>被评价单位信息反馈情况</w:t>
            </w:r>
          </w:p>
        </w:tc>
        <w:tc>
          <w:tcPr>
            <w:tcW w:w="8029" w:type="dxa"/>
            <w:gridSpan w:val="3"/>
            <w:tcBorders>
              <w:tl2br w:val="nil"/>
              <w:tr2bl w:val="nil"/>
            </w:tcBorders>
            <w:shd w:val="clear" w:color="auto" w:fill="auto"/>
            <w:vAlign w:val="center"/>
          </w:tcPr>
          <w:p>
            <w:pPr>
              <w:pStyle w:val="23"/>
            </w:pPr>
            <w:r>
              <w:t>满意</w:t>
            </w:r>
          </w:p>
        </w:tc>
      </w:tr>
    </w:tbl>
    <w:p/>
    <w:p>
      <w:pPr>
        <w:pStyle w:val="21"/>
      </w:pP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zYWM3MzQyYjM2YjkxYzRiZTgyZTRhN2Q4YTc4ZTQifQ=="/>
  </w:docVars>
  <w:rsids>
    <w:rsidRoot w:val="794127C3"/>
    <w:rsid w:val="016D5955"/>
    <w:rsid w:val="0224425A"/>
    <w:rsid w:val="025A529E"/>
    <w:rsid w:val="03FF4509"/>
    <w:rsid w:val="047339B2"/>
    <w:rsid w:val="071F5EA5"/>
    <w:rsid w:val="09D05E45"/>
    <w:rsid w:val="0D205F98"/>
    <w:rsid w:val="0F291978"/>
    <w:rsid w:val="14D27219"/>
    <w:rsid w:val="15C46BE8"/>
    <w:rsid w:val="15D40BC6"/>
    <w:rsid w:val="164F1596"/>
    <w:rsid w:val="1731694B"/>
    <w:rsid w:val="17F2495D"/>
    <w:rsid w:val="17F6044A"/>
    <w:rsid w:val="18102676"/>
    <w:rsid w:val="19D13C3F"/>
    <w:rsid w:val="1C493F58"/>
    <w:rsid w:val="1C71170A"/>
    <w:rsid w:val="1E566E09"/>
    <w:rsid w:val="22742B9E"/>
    <w:rsid w:val="22D84892"/>
    <w:rsid w:val="24C774F3"/>
    <w:rsid w:val="25115838"/>
    <w:rsid w:val="25787665"/>
    <w:rsid w:val="27BA21B7"/>
    <w:rsid w:val="27CC5D4D"/>
    <w:rsid w:val="28123A6A"/>
    <w:rsid w:val="2B8C3E6A"/>
    <w:rsid w:val="2CB7029A"/>
    <w:rsid w:val="2D5C205E"/>
    <w:rsid w:val="2DE02A07"/>
    <w:rsid w:val="308C1463"/>
    <w:rsid w:val="31E03A01"/>
    <w:rsid w:val="35656D09"/>
    <w:rsid w:val="36CA6422"/>
    <w:rsid w:val="386E302B"/>
    <w:rsid w:val="3E104487"/>
    <w:rsid w:val="3F135C70"/>
    <w:rsid w:val="3F650802"/>
    <w:rsid w:val="3FB53D1A"/>
    <w:rsid w:val="40BE1BEA"/>
    <w:rsid w:val="41425E44"/>
    <w:rsid w:val="41630D72"/>
    <w:rsid w:val="4213154E"/>
    <w:rsid w:val="43EA5D75"/>
    <w:rsid w:val="458B0E76"/>
    <w:rsid w:val="47484C91"/>
    <w:rsid w:val="475573AE"/>
    <w:rsid w:val="48323DE7"/>
    <w:rsid w:val="48387F4F"/>
    <w:rsid w:val="489E6413"/>
    <w:rsid w:val="4B032D3D"/>
    <w:rsid w:val="4DE77DF5"/>
    <w:rsid w:val="4DFE20BC"/>
    <w:rsid w:val="4EE67D8C"/>
    <w:rsid w:val="4F6B3C13"/>
    <w:rsid w:val="504601D7"/>
    <w:rsid w:val="50893AB4"/>
    <w:rsid w:val="51FC3FE6"/>
    <w:rsid w:val="529817CB"/>
    <w:rsid w:val="540D125C"/>
    <w:rsid w:val="554051FA"/>
    <w:rsid w:val="57D76EFA"/>
    <w:rsid w:val="5915074C"/>
    <w:rsid w:val="5AA355AA"/>
    <w:rsid w:val="5AC0062D"/>
    <w:rsid w:val="5D07484F"/>
    <w:rsid w:val="5D744B4B"/>
    <w:rsid w:val="5DEA76BD"/>
    <w:rsid w:val="5E6F74A3"/>
    <w:rsid w:val="61994610"/>
    <w:rsid w:val="64833355"/>
    <w:rsid w:val="661F0E5C"/>
    <w:rsid w:val="69A9560C"/>
    <w:rsid w:val="6AA954D2"/>
    <w:rsid w:val="6D3C7475"/>
    <w:rsid w:val="6E985C4F"/>
    <w:rsid w:val="6F1E0D65"/>
    <w:rsid w:val="6F332A28"/>
    <w:rsid w:val="705F504D"/>
    <w:rsid w:val="70C64E91"/>
    <w:rsid w:val="71ED62B2"/>
    <w:rsid w:val="72331F17"/>
    <w:rsid w:val="72A4046E"/>
    <w:rsid w:val="73C84F7A"/>
    <w:rsid w:val="75B275F6"/>
    <w:rsid w:val="77147E3D"/>
    <w:rsid w:val="77404120"/>
    <w:rsid w:val="77B84C6C"/>
    <w:rsid w:val="77F16347"/>
    <w:rsid w:val="78C0202A"/>
    <w:rsid w:val="794127C3"/>
    <w:rsid w:val="795D2751"/>
    <w:rsid w:val="79A2436C"/>
    <w:rsid w:val="7D0C1F6C"/>
    <w:rsid w:val="7EEB5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autoRedefine/>
    <w:qFormat/>
    <w:uiPriority w:val="0"/>
    <w:pPr>
      <w:keepNext/>
      <w:keepLines/>
      <w:spacing w:before="340" w:beforeLines="0" w:after="330" w:afterLines="0" w:line="576" w:lineRule="auto"/>
      <w:jc w:val="center"/>
      <w:outlineLvl w:val="0"/>
    </w:pPr>
    <w:rPr>
      <w:rFonts w:ascii="Times New Roman" w:hAnsi="Times New Roman" w:eastAsia="宋体"/>
      <w:bCs/>
      <w:kern w:val="44"/>
      <w:sz w:val="28"/>
      <w:szCs w:val="44"/>
    </w:rPr>
  </w:style>
  <w:style w:type="paragraph" w:styleId="4">
    <w:name w:val="heading 2"/>
    <w:basedOn w:val="1"/>
    <w:next w:val="1"/>
    <w:autoRedefine/>
    <w:qFormat/>
    <w:uiPriority w:val="0"/>
    <w:pPr>
      <w:keepNext/>
      <w:keepLines/>
      <w:spacing w:before="260" w:after="140" w:line="416" w:lineRule="auto"/>
      <w:ind w:firstLine="0" w:firstLineChars="0"/>
      <w:outlineLvl w:val="1"/>
    </w:pPr>
    <w:rPr>
      <w:rFonts w:eastAsia="楷体"/>
      <w:b/>
      <w:bCs/>
      <w:szCs w:val="30"/>
    </w:rPr>
  </w:style>
  <w:style w:type="paragraph" w:styleId="5">
    <w:name w:val="heading 3"/>
    <w:basedOn w:val="1"/>
    <w:next w:val="1"/>
    <w:autoRedefine/>
    <w:qFormat/>
    <w:uiPriority w:val="0"/>
    <w:pPr>
      <w:keepNext/>
      <w:keepLines/>
      <w:spacing w:before="260" w:beforeLines="0" w:after="260" w:afterLines="0" w:line="416" w:lineRule="auto"/>
      <w:outlineLvl w:val="2"/>
    </w:pPr>
    <w:rPr>
      <w:b/>
      <w:bCs/>
      <w:sz w:val="32"/>
      <w:szCs w:val="32"/>
    </w:rPr>
  </w:style>
  <w:style w:type="paragraph" w:styleId="6">
    <w:name w:val="heading 4"/>
    <w:basedOn w:val="1"/>
    <w:next w:val="1"/>
    <w:autoRedefine/>
    <w:qFormat/>
    <w:uiPriority w:val="0"/>
    <w:pPr>
      <w:keepNext/>
      <w:outlineLvl w:val="3"/>
    </w:pPr>
    <w:rPr>
      <w:rFonts w:ascii="宋体" w:hAnsi="宋体"/>
      <w:b/>
      <w:szCs w:val="28"/>
    </w:rPr>
  </w:style>
  <w:style w:type="character" w:default="1" w:styleId="19">
    <w:name w:val="Default Paragraph Font"/>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customStyle="1" w:styleId="2">
    <w:name w:val="正文样式"/>
    <w:basedOn w:val="1"/>
    <w:qFormat/>
    <w:uiPriority w:val="0"/>
    <w:pPr>
      <w:adjustRightInd/>
      <w:snapToGrid/>
    </w:pPr>
    <w:rPr>
      <w:sz w:val="28"/>
      <w:szCs w:val="28"/>
    </w:rPr>
  </w:style>
  <w:style w:type="paragraph" w:styleId="7">
    <w:name w:val="Normal Indent"/>
    <w:basedOn w:val="1"/>
    <w:next w:val="1"/>
    <w:qFormat/>
    <w:uiPriority w:val="0"/>
    <w:pPr>
      <w:adjustRightInd/>
      <w:snapToGrid/>
      <w:spacing w:line="240" w:lineRule="auto"/>
      <w:ind w:firstLine="420"/>
    </w:pPr>
    <w:rPr>
      <w:sz w:val="21"/>
      <w:szCs w:val="24"/>
    </w:rPr>
  </w:style>
  <w:style w:type="paragraph" w:styleId="8">
    <w:name w:val="Document Map"/>
    <w:basedOn w:val="1"/>
    <w:autoRedefine/>
    <w:qFormat/>
    <w:uiPriority w:val="0"/>
    <w:rPr>
      <w:rFonts w:ascii="宋体"/>
      <w:sz w:val="18"/>
      <w:szCs w:val="18"/>
    </w:rPr>
  </w:style>
  <w:style w:type="paragraph" w:styleId="9">
    <w:name w:val="Body Text"/>
    <w:basedOn w:val="1"/>
    <w:autoRedefine/>
    <w:qFormat/>
    <w:uiPriority w:val="0"/>
    <w:pPr>
      <w:adjustRightInd/>
      <w:snapToGrid/>
      <w:spacing w:after="120" w:line="240" w:lineRule="auto"/>
    </w:pPr>
    <w:rPr>
      <w:sz w:val="21"/>
      <w:szCs w:val="24"/>
    </w:rPr>
  </w:style>
  <w:style w:type="paragraph" w:styleId="10">
    <w:name w:val="Body Text Indent"/>
    <w:basedOn w:val="1"/>
    <w:autoRedefine/>
    <w:unhideWhenUsed/>
    <w:qFormat/>
    <w:uiPriority w:val="99"/>
    <w:pPr>
      <w:spacing w:after="120"/>
      <w:ind w:left="420" w:leftChars="200"/>
    </w:pPr>
  </w:style>
  <w:style w:type="paragraph" w:styleId="11">
    <w:name w:val="Body Text Indent 2"/>
    <w:basedOn w:val="1"/>
    <w:autoRedefine/>
    <w:qFormat/>
    <w:uiPriority w:val="0"/>
    <w:pPr>
      <w:spacing w:after="120" w:afterLines="0" w:afterAutospacing="0" w:line="480" w:lineRule="auto"/>
      <w:ind w:left="420" w:leftChars="200"/>
    </w:pPr>
  </w:style>
  <w:style w:type="paragraph" w:styleId="12">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autoRedefine/>
    <w:qFormat/>
    <w:uiPriority w:val="0"/>
    <w:pPr>
      <w:spacing w:before="240" w:beforeLines="0" w:after="60" w:afterLines="0" w:line="312" w:lineRule="auto"/>
      <w:jc w:val="center"/>
      <w:outlineLvl w:val="1"/>
    </w:pPr>
    <w:rPr>
      <w:rFonts w:ascii="Cambria" w:hAnsi="Cambria"/>
      <w:b/>
      <w:bCs/>
      <w:kern w:val="28"/>
      <w:sz w:val="32"/>
      <w:szCs w:val="32"/>
    </w:rPr>
  </w:style>
  <w:style w:type="paragraph" w:styleId="14">
    <w:name w:val="Body Text 2"/>
    <w:basedOn w:val="1"/>
    <w:autoRedefine/>
    <w:qFormat/>
    <w:uiPriority w:val="0"/>
    <w:pPr>
      <w:spacing w:after="120" w:line="480" w:lineRule="auto"/>
    </w:pPr>
  </w:style>
  <w:style w:type="paragraph" w:styleId="15">
    <w:name w:val="Title"/>
    <w:basedOn w:val="1"/>
    <w:next w:val="6"/>
    <w:autoRedefine/>
    <w:qFormat/>
    <w:uiPriority w:val="0"/>
    <w:pPr>
      <w:adjustRightInd w:val="0"/>
      <w:jc w:val="center"/>
      <w:textAlignment w:val="baseline"/>
    </w:pPr>
    <w:rPr>
      <w:rFonts w:ascii="宋体"/>
      <w:b/>
      <w:color w:val="000000"/>
      <w:kern w:val="0"/>
      <w:sz w:val="32"/>
      <w:szCs w:val="32"/>
    </w:rPr>
  </w:style>
  <w:style w:type="paragraph" w:styleId="16">
    <w:name w:val="Body Text First Indent"/>
    <w:basedOn w:val="9"/>
    <w:autoRedefine/>
    <w:qFormat/>
    <w:uiPriority w:val="0"/>
    <w:pPr>
      <w:spacing w:after="120"/>
      <w:ind w:firstLine="420" w:firstLineChars="100"/>
    </w:pPr>
  </w:style>
  <w:style w:type="paragraph" w:styleId="17">
    <w:name w:val="Body Text First Indent 2"/>
    <w:basedOn w:val="1"/>
    <w:next w:val="1"/>
    <w:autoRedefine/>
    <w:unhideWhenUsed/>
    <w:qFormat/>
    <w:uiPriority w:val="99"/>
    <w:pPr>
      <w:ind w:firstLine="420" w:firstLineChars="200"/>
    </w:pPr>
  </w:style>
  <w:style w:type="paragraph" w:customStyle="1" w:styleId="20">
    <w:name w:val="样式 正文文本缩进 + 行距: 1.5 倍行距"/>
    <w:basedOn w:val="1"/>
    <w:autoRedefine/>
    <w:qFormat/>
    <w:uiPriority w:val="0"/>
    <w:pPr>
      <w:spacing w:after="120" w:line="360" w:lineRule="auto"/>
      <w:ind w:left="90" w:leftChars="32" w:firstLine="560" w:firstLineChars="200"/>
    </w:pPr>
    <w:rPr>
      <w:rFonts w:cs="宋体"/>
      <w:sz w:val="24"/>
    </w:rPr>
  </w:style>
  <w:style w:type="paragraph" w:customStyle="1" w:styleId="21">
    <w:name w:val="Body Text 21"/>
    <w:basedOn w:val="1"/>
    <w:autoRedefine/>
    <w:qFormat/>
    <w:uiPriority w:val="0"/>
    <w:pPr>
      <w:adjustRightInd w:val="0"/>
      <w:spacing w:line="312" w:lineRule="atLeast"/>
      <w:jc w:val="center"/>
      <w:textAlignment w:val="baseline"/>
    </w:pPr>
    <w:rPr>
      <w:rFonts w:eastAsia="楷体_GB2312"/>
      <w:kern w:val="0"/>
      <w:sz w:val="28"/>
    </w:rPr>
  </w:style>
  <w:style w:type="paragraph" w:customStyle="1" w:styleId="2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表格"/>
    <w:basedOn w:val="1"/>
    <w:next w:val="1"/>
    <w:autoRedefine/>
    <w:qFormat/>
    <w:uiPriority w:val="0"/>
    <w:pPr>
      <w:adjustRightInd w:val="0"/>
      <w:snapToGrid w:val="0"/>
      <w:jc w:val="both"/>
      <w:textAlignment w:val="baseline"/>
    </w:pPr>
    <w:rPr>
      <w:rFonts w:ascii="宋体" w:hAnsi="宋体"/>
      <w:kern w:val="0"/>
      <w:sz w:val="24"/>
      <w:szCs w:val="20"/>
    </w:rPr>
  </w:style>
  <w:style w:type="paragraph" w:customStyle="1" w:styleId="24">
    <w:name w:val="首行缩进2个字符"/>
    <w:basedOn w:val="1"/>
    <w:autoRedefine/>
    <w:qFormat/>
    <w:uiPriority w:val="0"/>
    <w:pPr>
      <w:ind w:firstLine="200" w:firstLineChars="200"/>
    </w:pPr>
    <w:rPr>
      <w:rFonts w:ascii="宋体"/>
      <w:kern w:val="28"/>
    </w:rPr>
  </w:style>
  <w:style w:type="paragraph" w:customStyle="1" w:styleId="25">
    <w:name w:val="。正文"/>
    <w:basedOn w:val="24"/>
    <w:autoRedefine/>
    <w:qFormat/>
    <w:uiPriority w:val="0"/>
    <w:pPr>
      <w:jc w:val="left"/>
    </w:pPr>
  </w:style>
  <w:style w:type="paragraph" w:customStyle="1" w:styleId="26">
    <w:name w:val="标题试样三"/>
    <w:basedOn w:val="13"/>
    <w:autoRedefine/>
    <w:qFormat/>
    <w:uiPriority w:val="0"/>
    <w:pPr>
      <w:spacing w:before="120" w:beforeLines="0" w:after="0" w:afterLines="0" w:line="360" w:lineRule="auto"/>
      <w:jc w:val="both"/>
    </w:pPr>
    <w:rPr>
      <w:rFonts w:ascii="Times New Roman" w:hAnsi="Times New Roman" w:cs="宋体"/>
      <w:b w:val="0"/>
      <w:bCs w:val="0"/>
      <w:sz w:val="28"/>
      <w:szCs w:val="20"/>
    </w:rPr>
  </w:style>
  <w:style w:type="paragraph" w:customStyle="1" w:styleId="27">
    <w:name w:val="华文中宋"/>
    <w:basedOn w:val="1"/>
    <w:autoRedefine/>
    <w:qFormat/>
    <w:uiPriority w:val="0"/>
    <w:pPr>
      <w:spacing w:line="240" w:lineRule="auto"/>
      <w:ind w:firstLine="0" w:firstLineChars="0"/>
      <w:jc w:val="center"/>
    </w:pPr>
    <w:rPr>
      <w:rFonts w:eastAsia="华文中宋"/>
      <w:color w:val="000000"/>
      <w:kern w:val="0"/>
      <w:sz w:val="52"/>
    </w:rPr>
  </w:style>
  <w:style w:type="paragraph" w:customStyle="1" w:styleId="28">
    <w:name w:val="标题4"/>
    <w:basedOn w:val="1"/>
    <w:next w:val="1"/>
    <w:autoRedefine/>
    <w:qFormat/>
    <w:uiPriority w:val="0"/>
    <w:pPr>
      <w:outlineLvl w:val="2"/>
    </w:pPr>
    <w:rPr>
      <w:szCs w:val="28"/>
    </w:rPr>
  </w:style>
  <w:style w:type="paragraph" w:customStyle="1" w:styleId="29">
    <w:name w:val="黑体居中"/>
    <w:next w:val="15"/>
    <w:autoRedefine/>
    <w:qFormat/>
    <w:uiPriority w:val="0"/>
    <w:pPr>
      <w:adjustRightInd w:val="0"/>
      <w:snapToGrid w:val="0"/>
      <w:spacing w:line="360" w:lineRule="auto"/>
      <w:jc w:val="center"/>
    </w:pPr>
    <w:rPr>
      <w:rFonts w:ascii="黑体" w:hAnsi="黑体" w:eastAsia="黑体" w:cs="黑体"/>
      <w:sz w:val="32"/>
      <w:szCs w:val="32"/>
    </w:rPr>
  </w:style>
  <w:style w:type="paragraph" w:customStyle="1" w:styleId="30">
    <w:name w:val="li_正文"/>
    <w:basedOn w:val="1"/>
    <w:autoRedefine/>
    <w:qFormat/>
    <w:uiPriority w:val="0"/>
    <w:pPr>
      <w:widowControl w:val="0"/>
      <w:topLinePunct/>
      <w:adjustRightInd w:val="0"/>
      <w:snapToGrid w:val="0"/>
      <w:spacing w:line="360" w:lineRule="auto"/>
      <w:ind w:firstLine="700" w:firstLineChars="250"/>
      <w:textAlignment w:val="auto"/>
    </w:pPr>
    <w:rPr>
      <w:rFonts w:ascii="宋体" w:hAnsi="宋体"/>
      <w:sz w:val="28"/>
      <w:szCs w:val="28"/>
      <w:u w:val="none" w:color="auto"/>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1517</Words>
  <Characters>1786</Characters>
  <Lines>0</Lines>
  <Paragraphs>0</Paragraphs>
  <TotalTime>6</TotalTime>
  <ScaleCrop>false</ScaleCrop>
  <LinksUpToDate>false</LinksUpToDate>
  <CharactersWithSpaces>1801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2023-04-17T07:59:00Z</dcterms:created>
  <dc:creator>Awen</dc:creator>
  <cp:lastModifiedBy>Awen</cp:lastModifiedBy>
  <dcterms:modified xsi:type="dcterms:W3CDTF">2024-05-31T06:33:39Z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D17F5AE8315845F6B266AA8EC2B47602</vt:lpwstr>
  </property>
</Properties>
</file>