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647E">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0EBF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792F6BC">
            <w:pPr>
              <w:pStyle w:val="19"/>
              <w:bidi w:val="0"/>
            </w:pPr>
            <w:r>
              <w:t>项目名称</w:t>
            </w:r>
          </w:p>
        </w:tc>
        <w:tc>
          <w:tcPr>
            <w:tcW w:w="7581" w:type="dxa"/>
            <w:gridSpan w:val="3"/>
            <w:tcBorders>
              <w:tl2br w:val="nil"/>
              <w:tr2bl w:val="nil"/>
            </w:tcBorders>
            <w:noWrap w:val="0"/>
            <w:vAlign w:val="center"/>
          </w:tcPr>
          <w:p w14:paraId="3875D052">
            <w:pPr>
              <w:pStyle w:val="19"/>
              <w:bidi w:val="0"/>
              <w:rPr>
                <w:rFonts w:hint="default" w:eastAsia="宋体"/>
                <w:lang w:val="en-US" w:eastAsia="zh-CN"/>
              </w:rPr>
            </w:pPr>
            <w:r>
              <w:rPr>
                <w:rFonts w:hint="eastAsia" w:ascii="宋体" w:hAnsi="宋体" w:cs="宋体"/>
                <w:color w:val="auto"/>
                <w:kern w:val="0"/>
                <w:sz w:val="24"/>
                <w:szCs w:val="20"/>
              </w:rPr>
              <w:t>福建永晶科技股份有限公司永晶科技硝基异脲及厂区绿色智能化技改项目（本期：硝基异脲及氟尼辛技改项目）安全</w:t>
            </w:r>
            <w:r>
              <w:rPr>
                <w:rFonts w:hint="eastAsia" w:cs="宋体"/>
                <w:color w:val="auto"/>
                <w:kern w:val="0"/>
                <w:sz w:val="24"/>
                <w:szCs w:val="20"/>
                <w:lang w:val="en-US" w:eastAsia="zh-CN"/>
              </w:rPr>
              <w:t>预评价</w:t>
            </w:r>
            <w:r>
              <w:rPr>
                <w:rFonts w:hint="eastAsia" w:ascii="宋体" w:hAnsi="宋体" w:cs="宋体"/>
                <w:color w:val="auto"/>
                <w:kern w:val="0"/>
                <w:sz w:val="24"/>
                <w:szCs w:val="20"/>
              </w:rPr>
              <w:t>报告</w:t>
            </w:r>
          </w:p>
        </w:tc>
      </w:tr>
      <w:tr w14:paraId="027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5C863AA">
            <w:pPr>
              <w:pStyle w:val="19"/>
              <w:bidi w:val="0"/>
            </w:pPr>
            <w:r>
              <w:t>完成时间</w:t>
            </w:r>
          </w:p>
        </w:tc>
        <w:tc>
          <w:tcPr>
            <w:tcW w:w="7581" w:type="dxa"/>
            <w:gridSpan w:val="3"/>
            <w:tcBorders>
              <w:tl2br w:val="nil"/>
              <w:tr2bl w:val="nil"/>
            </w:tcBorders>
            <w:noWrap w:val="0"/>
            <w:vAlign w:val="center"/>
          </w:tcPr>
          <w:p w14:paraId="51752F9F">
            <w:pPr>
              <w:pStyle w:val="19"/>
              <w:bidi w:val="0"/>
              <w:rPr>
                <w:rFonts w:hint="default"/>
                <w:lang w:val="en-US" w:eastAsia="zh-CN"/>
              </w:rPr>
            </w:pPr>
            <w:r>
              <w:rPr>
                <w:rFonts w:hint="eastAsia"/>
                <w:lang w:val="en-US" w:eastAsia="zh-CN"/>
              </w:rPr>
              <w:t>2024.3</w:t>
            </w:r>
          </w:p>
        </w:tc>
      </w:tr>
      <w:tr w14:paraId="6D8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2A845D0C">
            <w:pPr>
              <w:pStyle w:val="19"/>
              <w:bidi w:val="0"/>
            </w:pPr>
            <w:r>
              <w:rPr>
                <w:rFonts w:hint="eastAsia"/>
              </w:rPr>
              <w:t>评价人员</w:t>
            </w:r>
          </w:p>
        </w:tc>
      </w:tr>
      <w:tr w14:paraId="00A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3DFF04">
            <w:pPr>
              <w:pStyle w:val="19"/>
              <w:bidi w:val="0"/>
            </w:pPr>
          </w:p>
        </w:tc>
        <w:tc>
          <w:tcPr>
            <w:tcW w:w="1820" w:type="dxa"/>
            <w:tcBorders>
              <w:tl2br w:val="nil"/>
              <w:tr2bl w:val="nil"/>
            </w:tcBorders>
            <w:noWrap w:val="0"/>
            <w:vAlign w:val="center"/>
          </w:tcPr>
          <w:p w14:paraId="117C47F1">
            <w:pPr>
              <w:pStyle w:val="19"/>
              <w:bidi w:val="0"/>
            </w:pPr>
            <w:r>
              <w:t>姓名</w:t>
            </w:r>
          </w:p>
        </w:tc>
        <w:tc>
          <w:tcPr>
            <w:tcW w:w="3864" w:type="dxa"/>
            <w:tcBorders>
              <w:tl2br w:val="nil"/>
              <w:tr2bl w:val="nil"/>
            </w:tcBorders>
            <w:noWrap w:val="0"/>
            <w:vAlign w:val="center"/>
          </w:tcPr>
          <w:p w14:paraId="564D106C">
            <w:pPr>
              <w:pStyle w:val="19"/>
              <w:bidi w:val="0"/>
            </w:pPr>
            <w:r>
              <w:t>资格证书号</w:t>
            </w:r>
          </w:p>
        </w:tc>
        <w:tc>
          <w:tcPr>
            <w:tcW w:w="1897" w:type="dxa"/>
            <w:tcBorders>
              <w:tl2br w:val="nil"/>
              <w:tr2bl w:val="nil"/>
            </w:tcBorders>
            <w:noWrap w:val="0"/>
            <w:vAlign w:val="center"/>
          </w:tcPr>
          <w:p w14:paraId="4D152355">
            <w:pPr>
              <w:pStyle w:val="19"/>
              <w:bidi w:val="0"/>
            </w:pPr>
            <w:r>
              <w:t>从业号</w:t>
            </w:r>
          </w:p>
        </w:tc>
      </w:tr>
      <w:tr w14:paraId="282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243F1C4">
            <w:pPr>
              <w:pStyle w:val="19"/>
              <w:bidi w:val="0"/>
            </w:pPr>
            <w:r>
              <w:t>项目负责人</w:t>
            </w:r>
          </w:p>
        </w:tc>
        <w:tc>
          <w:tcPr>
            <w:tcW w:w="1820" w:type="dxa"/>
            <w:tcBorders>
              <w:tl2br w:val="nil"/>
              <w:tr2bl w:val="nil"/>
            </w:tcBorders>
            <w:noWrap w:val="0"/>
            <w:vAlign w:val="center"/>
          </w:tcPr>
          <w:p w14:paraId="1D4E124B">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189D9EE4">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83DF789">
            <w:pPr>
              <w:jc w:val="center"/>
            </w:pPr>
            <w:r>
              <w:rPr>
                <w:rFonts w:hint="eastAsia" w:ascii="宋体" w:hAnsi="宋体" w:cs="宋体"/>
                <w:color w:val="auto"/>
                <w:kern w:val="0"/>
                <w:sz w:val="24"/>
                <w:szCs w:val="20"/>
              </w:rPr>
              <w:t>030150</w:t>
            </w:r>
          </w:p>
        </w:tc>
      </w:tr>
      <w:tr w14:paraId="605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4489B7EF">
            <w:pPr>
              <w:pStyle w:val="19"/>
              <w:bidi w:val="0"/>
            </w:pPr>
            <w:r>
              <w:t>项目组成员</w:t>
            </w:r>
          </w:p>
        </w:tc>
        <w:tc>
          <w:tcPr>
            <w:tcW w:w="1820" w:type="dxa"/>
            <w:tcBorders>
              <w:tl2br w:val="nil"/>
              <w:tr2bl w:val="nil"/>
            </w:tcBorders>
            <w:noWrap w:val="0"/>
            <w:vAlign w:val="center"/>
          </w:tcPr>
          <w:p w14:paraId="771C3691">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4BCD328F">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2DF36589">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481D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ED05236">
            <w:pPr>
              <w:pStyle w:val="19"/>
              <w:bidi w:val="0"/>
            </w:pPr>
          </w:p>
        </w:tc>
        <w:tc>
          <w:tcPr>
            <w:tcW w:w="1820" w:type="dxa"/>
            <w:tcBorders>
              <w:tl2br w:val="nil"/>
              <w:tr2bl w:val="nil"/>
            </w:tcBorders>
            <w:noWrap w:val="0"/>
            <w:vAlign w:val="center"/>
          </w:tcPr>
          <w:p w14:paraId="6EF6C5C1">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1AE666F">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61ED8BA9">
            <w:pPr>
              <w:jc w:val="center"/>
            </w:pPr>
            <w:r>
              <w:rPr>
                <w:rFonts w:hint="eastAsia" w:ascii="宋体" w:hAnsi="宋体" w:cs="宋体"/>
                <w:color w:val="auto"/>
                <w:kern w:val="0"/>
                <w:sz w:val="24"/>
                <w:szCs w:val="20"/>
              </w:rPr>
              <w:t>038953</w:t>
            </w:r>
          </w:p>
        </w:tc>
      </w:tr>
      <w:tr w14:paraId="17B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90D3F29">
            <w:pPr>
              <w:pStyle w:val="19"/>
              <w:bidi w:val="0"/>
            </w:pPr>
          </w:p>
        </w:tc>
        <w:tc>
          <w:tcPr>
            <w:tcW w:w="1820" w:type="dxa"/>
            <w:tcBorders>
              <w:tl2br w:val="nil"/>
              <w:tr2bl w:val="nil"/>
            </w:tcBorders>
            <w:noWrap w:val="0"/>
            <w:vAlign w:val="center"/>
          </w:tcPr>
          <w:p w14:paraId="2DD0D5A0">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3621E892">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71BB920F">
            <w:pPr>
              <w:jc w:val="center"/>
            </w:pPr>
            <w:r>
              <w:rPr>
                <w:rFonts w:hint="eastAsia" w:ascii="宋体" w:hAnsi="宋体" w:cs="宋体"/>
                <w:color w:val="auto"/>
                <w:kern w:val="0"/>
                <w:sz w:val="24"/>
                <w:szCs w:val="20"/>
              </w:rPr>
              <w:t>019967</w:t>
            </w:r>
          </w:p>
        </w:tc>
      </w:tr>
      <w:tr w14:paraId="600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87B435B">
            <w:pPr>
              <w:pStyle w:val="19"/>
              <w:bidi w:val="0"/>
            </w:pPr>
          </w:p>
        </w:tc>
        <w:tc>
          <w:tcPr>
            <w:tcW w:w="1820" w:type="dxa"/>
            <w:tcBorders>
              <w:tl2br w:val="nil"/>
              <w:tr2bl w:val="nil"/>
            </w:tcBorders>
            <w:noWrap w:val="0"/>
            <w:vAlign w:val="center"/>
          </w:tcPr>
          <w:p w14:paraId="5C44DD6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6EF11CA3">
            <w:pPr>
              <w:jc w:val="center"/>
            </w:pPr>
            <w:r>
              <w:rPr>
                <w:rFonts w:hint="eastAsia" w:ascii="宋体"/>
                <w:color w:val="auto"/>
                <w:sz w:val="24"/>
              </w:rPr>
              <w:t>S011035000110203001148</w:t>
            </w:r>
          </w:p>
        </w:tc>
        <w:tc>
          <w:tcPr>
            <w:tcW w:w="1897" w:type="dxa"/>
            <w:tcBorders>
              <w:tl2br w:val="nil"/>
              <w:tr2bl w:val="nil"/>
            </w:tcBorders>
            <w:noWrap w:val="0"/>
            <w:vAlign w:val="center"/>
          </w:tcPr>
          <w:p w14:paraId="7ACDADF7">
            <w:pPr>
              <w:jc w:val="center"/>
            </w:pPr>
            <w:r>
              <w:rPr>
                <w:rFonts w:hint="eastAsia" w:ascii="宋体"/>
                <w:color w:val="auto"/>
                <w:sz w:val="24"/>
              </w:rPr>
              <w:t>040277</w:t>
            </w:r>
          </w:p>
        </w:tc>
      </w:tr>
      <w:tr w14:paraId="6E0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2C75F47">
            <w:pPr>
              <w:pStyle w:val="19"/>
              <w:bidi w:val="0"/>
            </w:pPr>
            <w:r>
              <w:t>技术专家</w:t>
            </w:r>
          </w:p>
        </w:tc>
        <w:tc>
          <w:tcPr>
            <w:tcW w:w="7581" w:type="dxa"/>
            <w:gridSpan w:val="3"/>
            <w:tcBorders>
              <w:tl2br w:val="nil"/>
              <w:tr2bl w:val="nil"/>
            </w:tcBorders>
            <w:noWrap w:val="0"/>
            <w:vAlign w:val="center"/>
          </w:tcPr>
          <w:p w14:paraId="07F30F8C">
            <w:pPr>
              <w:pStyle w:val="19"/>
              <w:bidi w:val="0"/>
            </w:pPr>
            <w:r>
              <w:t>/</w:t>
            </w:r>
          </w:p>
        </w:tc>
      </w:tr>
      <w:tr w14:paraId="4CC9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F895C3D">
            <w:pPr>
              <w:pStyle w:val="19"/>
              <w:bidi w:val="0"/>
            </w:pPr>
            <w:r>
              <w:t>现场勘察人员及时间</w:t>
            </w:r>
          </w:p>
        </w:tc>
        <w:tc>
          <w:tcPr>
            <w:tcW w:w="7581" w:type="dxa"/>
            <w:gridSpan w:val="3"/>
            <w:tcBorders>
              <w:tl2br w:val="nil"/>
              <w:tr2bl w:val="nil"/>
            </w:tcBorders>
            <w:noWrap w:val="0"/>
            <w:vAlign w:val="center"/>
          </w:tcPr>
          <w:p w14:paraId="546A2AF8">
            <w:pPr>
              <w:pStyle w:val="19"/>
              <w:bidi w:val="0"/>
              <w:rPr>
                <w:rFonts w:hint="default"/>
                <w:lang w:val="en-US" w:eastAsia="zh-CN"/>
              </w:rPr>
            </w:pPr>
            <w:r>
              <w:rPr>
                <w:rFonts w:hint="eastAsia"/>
                <w:lang w:val="en-US" w:eastAsia="zh-CN"/>
              </w:rPr>
              <w:t>曹国强、陈明基 2024.2.20</w:t>
            </w:r>
          </w:p>
        </w:tc>
      </w:tr>
      <w:tr w14:paraId="4DF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FB5E541">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7E6D3CEE">
            <w:pPr>
              <w:pStyle w:val="19"/>
              <w:bidi w:val="0"/>
              <w:rPr>
                <w:rFonts w:hint="default"/>
                <w:lang w:val="en-US" w:eastAsia="zh-CN"/>
              </w:rPr>
            </w:pPr>
          </w:p>
        </w:tc>
      </w:tr>
      <w:tr w14:paraId="778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0FD92B9D">
            <w:pPr>
              <w:pStyle w:val="19"/>
              <w:bidi w:val="0"/>
            </w:pPr>
            <w:r>
              <w:t>项目简介</w:t>
            </w:r>
          </w:p>
        </w:tc>
        <w:tc>
          <w:tcPr>
            <w:tcW w:w="7581" w:type="dxa"/>
            <w:gridSpan w:val="3"/>
            <w:tcBorders>
              <w:tl2br w:val="nil"/>
              <w:tr2bl w:val="nil"/>
            </w:tcBorders>
            <w:noWrap w:val="0"/>
            <w:vAlign w:val="top"/>
          </w:tcPr>
          <w:p w14:paraId="7BF98493">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福建永晶科技股份有限公司硝基异脲生产线位于31车间（液晶厂房）内</w:t>
            </w:r>
            <w:r>
              <w:rPr>
                <w:rFonts w:hint="eastAsia" w:cs="Times New Roman"/>
                <w:lang w:eastAsia="zh-CN"/>
              </w:rPr>
              <w:t>。</w:t>
            </w:r>
            <w:r>
              <w:rPr>
                <w:rFonts w:hint="eastAsia" w:ascii="宋体" w:hAnsi="宋体" w:eastAsia="宋体" w:cs="Times New Roman"/>
                <w:lang w:eastAsia="zh-CN"/>
              </w:rPr>
              <w:t>本次技改，O-甲基异脲硫酸氢盐生产工艺过程不变，将原O-甲基-N-硝基异脲生产工艺中混酸、硝化工序改为原料配制、混酸配制、硝化反应（反应设备改为微通道反应器），并根据工艺需要新增配套的温控装置，增设打浆离心工序，将废酸中和工序移至67车间处理。后处理过程的水解反应、析晶离心、尾气处理等过程使用原先工艺，本次未进行技改。</w:t>
            </w:r>
          </w:p>
          <w:p w14:paraId="6E9597A0">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本次改造的氟尼辛生产装置生产线位于21车间（氟化厂房1）内，本次氟尼辛生产线主要改造内容包括：硝化工艺硝化反应取消硝化釜式反应釜，采用管式反应，增加原料、硫酸、硝酸进料罐，管式反应器、反应液暂存釜；氟尼辛采用甲醇结晶精制，增加离心机、母液罐、输送泵，母液去14溶剂回收车间回收甲醇，甲醇回收后套用；公用工程新增40℃热水系统、60-65℃热水系统；取代反应取消配制釜，改为手套箱投料三氯化铝；蒸馏步骤后面增加重结晶功能，配套甲醇高位槽、离心机、母液罐、输送泵；氟化反应中取消除水釜，拆除原蒸馏系统，采用精馏塔精馏，增加配套冷凝器、接收罐、输送泵，结晶提纯后的AB26-2进热熔釜，再氮气压进氟化反应釜。</w:t>
            </w:r>
          </w:p>
          <w:p w14:paraId="005232FC">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涉及的危险化学品有105%硫酸（发烟硫酸）、98%硝酸（发烟硝酸）、98%硫酸、氮气（压缩的）、3,4-二氯甲苯、四氯化碳、三氯化铝、二氯乙烷、盐酸、二氯甲烷、氯化氢、氟化氢、氢氧化钠、混酸（盐酸-HF）、甲醇。其中氟化氢、甲醇为首批重点监管的危险化学品，氟化氢还列入高毒物品目录，98%硫酸、105%硫酸（发烟硫酸）、盐酸属于第三类易制毒化学品；98%硝酸（发烟硝酸）为易制爆危险化学品；98%硝酸（发烟硝酸）还列入《福建省禁止、限制和控制危险化学品目录（试行）》、《南平市禁止、限制和控制危险化学品及其工艺、设备目录（试行）》中的限制和控制危险化学品。甲醇属于特别管控危险化学品（管控措施仅限于强化运输管理。）。拟建项目未涉及剧毒品、第二批重点监管的危险化学品、各类监控化学品。</w:t>
            </w:r>
          </w:p>
          <w:p w14:paraId="47814BEC">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拟建项目生产过程中主要存在火灾、爆炸、容器爆炸、中毒和窒息、灼烫、机械伤害、高处坠落、物体打击、触电、车辆伤害、坍塌、粉尘危害、噪声危害、高温危害、低温冻伤、腐蚀危害、采光照明不良、自然灾害影响等危险、有害因素。</w:t>
            </w:r>
          </w:p>
          <w:p w14:paraId="629BB6F7">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eastAsia="zh-CN"/>
              </w:rPr>
              <w:t>根据辨识结果，确定拟建项目依托使用的储存单元化学品罐组2构成四级重大危险源；酸碱及AHF罐区构成一级危险化学品重大危险源；生产单元21车间（氟化厂房1）构成一级危险化学品重大危险源、14车间（溶剂回收车间）构成三级危险化学品重大危险源；31车间（液晶厂房）不构成重大危险源；31车间甲基异脲生产装置未构成危险化学品重大危险源。21车间氟尼辛生产装置未构成危险化学品重大危险源。</w:t>
            </w:r>
          </w:p>
          <w:p w14:paraId="39561D19">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福建永晶科技股份有限公司永晶科技硝基异脲及厂区绿色智能化技改项目（本期：硝基异脲及氟尼辛技改项目）在落实可研报告和本评价报告提出的各项安全对策和措施后，拟建项目安全条件和安全生产条件符合国家现行的有关安全生产法律、法规、部门规章及标准的规定和要求。项目在设计和施工阶段应认真落实可行性研究报告及本评价报告提出的各项安全对策措施和预防手段，在建成后应不断完善安全管理措施，强化安全生产管理，提高职工安全素质，全面实现企业安全生产。</w:t>
            </w:r>
          </w:p>
        </w:tc>
      </w:tr>
      <w:tr w14:paraId="294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E6BA2D4">
            <w:pPr>
              <w:pStyle w:val="19"/>
              <w:bidi w:val="0"/>
            </w:pPr>
            <w:r>
              <w:t>现场照片</w:t>
            </w:r>
          </w:p>
        </w:tc>
        <w:tc>
          <w:tcPr>
            <w:tcW w:w="7581" w:type="dxa"/>
            <w:gridSpan w:val="3"/>
            <w:tcBorders>
              <w:tl2br w:val="nil"/>
              <w:tr2bl w:val="nil"/>
            </w:tcBorders>
            <w:noWrap w:val="0"/>
            <w:vAlign w:val="top"/>
          </w:tcPr>
          <w:p w14:paraId="738C72D4">
            <w:pPr>
              <w:pStyle w:val="19"/>
              <w:bidi w:val="0"/>
              <w:rPr>
                <w:rFonts w:hint="default"/>
                <w:lang w:val="en-US" w:eastAsia="zh-CN"/>
              </w:rPr>
            </w:pPr>
          </w:p>
          <w:p w14:paraId="4F5172A5">
            <w:pPr>
              <w:pStyle w:val="19"/>
              <w:bidi w:val="0"/>
              <w:rPr>
                <w:rFonts w:hint="default"/>
                <w:lang w:val="en-US" w:eastAsia="zh-CN"/>
              </w:rPr>
            </w:pPr>
            <w:r>
              <w:rPr>
                <w:rFonts w:hint="default"/>
                <w:lang w:val="en-US" w:eastAsia="zh-CN"/>
              </w:rPr>
              <w:drawing>
                <wp:inline distT="0" distB="0" distL="114300" distR="114300">
                  <wp:extent cx="4744085" cy="3602355"/>
                  <wp:effectExtent l="0" t="0" r="18415" b="17145"/>
                  <wp:docPr id="1" name="图片 1" descr="现场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现场照片"/>
                          <pic:cNvPicPr>
                            <a:picLocks noChangeAspect="1"/>
                          </pic:cNvPicPr>
                        </pic:nvPicPr>
                        <pic:blipFill>
                          <a:blip r:embed="rId5"/>
                          <a:stretch>
                            <a:fillRect/>
                          </a:stretch>
                        </pic:blipFill>
                        <pic:spPr>
                          <a:xfrm>
                            <a:off x="0" y="0"/>
                            <a:ext cx="4744085" cy="3602355"/>
                          </a:xfrm>
                          <a:prstGeom prst="rect">
                            <a:avLst/>
                          </a:prstGeom>
                        </pic:spPr>
                      </pic:pic>
                    </a:graphicData>
                  </a:graphic>
                </wp:inline>
              </w:drawing>
            </w:r>
            <w:bookmarkStart w:id="0" w:name="_GoBack"/>
            <w:r>
              <w:rPr>
                <w:rFonts w:hint="default"/>
                <w:lang w:val="en-US" w:eastAsia="zh-CN"/>
              </w:rPr>
              <w:drawing>
                <wp:inline distT="0" distB="0" distL="114300" distR="114300">
                  <wp:extent cx="4798695" cy="3597275"/>
                  <wp:effectExtent l="0" t="0" r="1905" b="3175"/>
                  <wp:docPr id="2" name="图片 2" descr="现场照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现场照片 (2)"/>
                          <pic:cNvPicPr>
                            <a:picLocks noChangeAspect="1"/>
                          </pic:cNvPicPr>
                        </pic:nvPicPr>
                        <pic:blipFill>
                          <a:blip r:embed="rId6"/>
                          <a:stretch>
                            <a:fillRect/>
                          </a:stretch>
                        </pic:blipFill>
                        <pic:spPr>
                          <a:xfrm>
                            <a:off x="0" y="0"/>
                            <a:ext cx="4798695" cy="3597275"/>
                          </a:xfrm>
                          <a:prstGeom prst="rect">
                            <a:avLst/>
                          </a:prstGeom>
                        </pic:spPr>
                      </pic:pic>
                    </a:graphicData>
                  </a:graphic>
                </wp:inline>
              </w:drawing>
            </w:r>
            <w:bookmarkEnd w:id="0"/>
          </w:p>
        </w:tc>
      </w:tr>
      <w:tr w14:paraId="0D4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E5A095">
            <w:pPr>
              <w:pStyle w:val="19"/>
              <w:bidi w:val="0"/>
            </w:pPr>
            <w:r>
              <w:t>被评价单位信息反馈情况</w:t>
            </w:r>
          </w:p>
        </w:tc>
        <w:tc>
          <w:tcPr>
            <w:tcW w:w="7581" w:type="dxa"/>
            <w:gridSpan w:val="3"/>
            <w:tcBorders>
              <w:tl2br w:val="nil"/>
              <w:tr2bl w:val="nil"/>
            </w:tcBorders>
            <w:noWrap w:val="0"/>
            <w:vAlign w:val="center"/>
          </w:tcPr>
          <w:p w14:paraId="07AFCD63">
            <w:pPr>
              <w:pStyle w:val="19"/>
              <w:bidi w:val="0"/>
            </w:pPr>
            <w:r>
              <w:t>满意</w:t>
            </w:r>
          </w:p>
        </w:tc>
      </w:tr>
    </w:tbl>
    <w:p w14:paraId="297DE013">
      <w:pPr>
        <w:jc w:val="both"/>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807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C51A8">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11BC51A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36F2761"/>
    <w:rsid w:val="054D43D2"/>
    <w:rsid w:val="067C6F0E"/>
    <w:rsid w:val="06EF6353"/>
    <w:rsid w:val="07D32EB9"/>
    <w:rsid w:val="0A3600A6"/>
    <w:rsid w:val="0E53337E"/>
    <w:rsid w:val="10CF6B07"/>
    <w:rsid w:val="17810296"/>
    <w:rsid w:val="17C601C4"/>
    <w:rsid w:val="188D103C"/>
    <w:rsid w:val="18CA2EBE"/>
    <w:rsid w:val="1B9F4DB7"/>
    <w:rsid w:val="1CD17A8D"/>
    <w:rsid w:val="23356346"/>
    <w:rsid w:val="276E1EEA"/>
    <w:rsid w:val="29925FE1"/>
    <w:rsid w:val="29F53ECF"/>
    <w:rsid w:val="2E046C06"/>
    <w:rsid w:val="30C531FD"/>
    <w:rsid w:val="32CC6EE2"/>
    <w:rsid w:val="3C7D28D5"/>
    <w:rsid w:val="41912F5E"/>
    <w:rsid w:val="42C53343"/>
    <w:rsid w:val="43C0308C"/>
    <w:rsid w:val="48EC5AF0"/>
    <w:rsid w:val="4E3D5914"/>
    <w:rsid w:val="52E07D49"/>
    <w:rsid w:val="53B078E8"/>
    <w:rsid w:val="542E2CCC"/>
    <w:rsid w:val="54345BD2"/>
    <w:rsid w:val="57800B40"/>
    <w:rsid w:val="58011B84"/>
    <w:rsid w:val="5831795F"/>
    <w:rsid w:val="5A435025"/>
    <w:rsid w:val="5BF832F3"/>
    <w:rsid w:val="60B460AF"/>
    <w:rsid w:val="655D6D55"/>
    <w:rsid w:val="658063A7"/>
    <w:rsid w:val="66C53C4A"/>
    <w:rsid w:val="67600A2D"/>
    <w:rsid w:val="69A37153"/>
    <w:rsid w:val="69D40406"/>
    <w:rsid w:val="6AA57F27"/>
    <w:rsid w:val="6BD4664B"/>
    <w:rsid w:val="6CB1098B"/>
    <w:rsid w:val="6D1139EB"/>
    <w:rsid w:val="6F3D1DEF"/>
    <w:rsid w:val="6F67290E"/>
    <w:rsid w:val="6FF5219F"/>
    <w:rsid w:val="737D1DEA"/>
    <w:rsid w:val="73AA2228"/>
    <w:rsid w:val="75816D2C"/>
    <w:rsid w:val="76E25EB6"/>
    <w:rsid w:val="77832F9B"/>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3">
    <w:name w:val="_Style 3"/>
    <w:basedOn w:val="1"/>
    <w:qFormat/>
    <w:uiPriority w:val="0"/>
    <w:pPr>
      <w:ind w:left="720"/>
      <w:contextualSpacing/>
    </w:p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qFormat/>
    <w:uiPriority w:val="99"/>
    <w:rPr>
      <w:sz w:val="28"/>
      <w:szCs w:val="28"/>
    </w:rPr>
  </w:style>
  <w:style w:type="paragraph" w:styleId="8">
    <w:name w:val="Body Text Indent"/>
    <w:basedOn w:val="1"/>
    <w:unhideWhenUsed/>
    <w:qFormat/>
    <w:uiPriority w:val="99"/>
    <w:pPr>
      <w:spacing w:after="120"/>
      <w:ind w:left="420" w:leftChars="200"/>
    </w:pPr>
  </w:style>
  <w:style w:type="paragraph" w:styleId="9">
    <w:name w:val="Balloon Text"/>
    <w:basedOn w:val="1"/>
    <w:link w:val="18"/>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1"/>
    <w:qFormat/>
    <w:uiPriority w:val="0"/>
    <w:pPr>
      <w:spacing w:after="120"/>
      <w:ind w:firstLine="420" w:firstLineChars="100"/>
    </w:pPr>
  </w:style>
  <w:style w:type="paragraph" w:styleId="15">
    <w:name w:val="Body Text First Indent 2"/>
    <w:basedOn w:val="1"/>
    <w:next w:val="1"/>
    <w:unhideWhenUsed/>
    <w:qFormat/>
    <w:uiPriority w:val="99"/>
    <w:pPr>
      <w:ind w:firstLine="420" w:firstLineChars="200"/>
    </w:pPr>
  </w:style>
  <w:style w:type="character" w:customStyle="1" w:styleId="18">
    <w:name w:val="批注框文本 Char"/>
    <w:basedOn w:val="17"/>
    <w:link w:val="9"/>
    <w:qFormat/>
    <w:uiPriority w:val="0"/>
    <w:rPr>
      <w:rFonts w:ascii="Calibri" w:hAnsi="Calibri"/>
      <w:kern w:val="2"/>
      <w:sz w:val="18"/>
      <w:szCs w:val="18"/>
    </w:rPr>
  </w:style>
  <w:style w:type="paragraph" w:customStyle="1" w:styleId="1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0">
    <w:name w:val="样式 标题 2"/>
    <w:basedOn w:val="5"/>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4">
    <w:name w:val="表格内容"/>
    <w:basedOn w:val="1"/>
    <w:qFormat/>
    <w:uiPriority w:val="0"/>
    <w:pPr>
      <w:adjustRightInd w:val="0"/>
      <w:snapToGrid w:val="0"/>
      <w:spacing w:line="360" w:lineRule="auto"/>
      <w:jc w:val="center"/>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1484</Words>
  <Characters>1661</Characters>
  <Lines>7</Lines>
  <Paragraphs>2</Paragraphs>
  <TotalTime>2</TotalTime>
  <ScaleCrop>false</ScaleCrop>
  <LinksUpToDate>false</LinksUpToDate>
  <CharactersWithSpaces>1662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2024-09-11T01:28:32Z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