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0647E">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0EBF2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792F6BC">
            <w:pPr>
              <w:pStyle w:val="19"/>
              <w:bidi w:val="0"/>
            </w:pPr>
            <w:r>
              <w:t>项目名称</w:t>
            </w:r>
          </w:p>
        </w:tc>
        <w:tc>
          <w:tcPr>
            <w:tcW w:w="7581" w:type="dxa"/>
            <w:gridSpan w:val="3"/>
            <w:tcBorders>
              <w:tl2br w:val="nil"/>
              <w:tr2bl w:val="nil"/>
            </w:tcBorders>
            <w:noWrap w:val="0"/>
            <w:vAlign w:val="center"/>
          </w:tcPr>
          <w:p w14:paraId="3875D052">
            <w:pPr>
              <w:pStyle w:val="19"/>
              <w:bidi w:val="0"/>
              <w:rPr>
                <w:rFonts w:hint="default" w:eastAsia="宋体"/>
                <w:lang w:val="en-US" w:eastAsia="zh-CN"/>
              </w:rPr>
            </w:pPr>
            <w:r>
              <w:rPr>
                <w:rFonts w:hint="eastAsia" w:ascii="宋体" w:hAnsi="宋体" w:cs="宋体"/>
                <w:color w:val="auto"/>
                <w:kern w:val="0"/>
                <w:sz w:val="24"/>
                <w:szCs w:val="20"/>
              </w:rPr>
              <w:t>中铜东南铜业有限公司（烟气制酸系统、发烟酸系统、硫酸镍回收系统分册）安全现状评价报告</w:t>
            </w:r>
          </w:p>
        </w:tc>
      </w:tr>
      <w:tr w14:paraId="0273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5C863AA">
            <w:pPr>
              <w:pStyle w:val="19"/>
              <w:bidi w:val="0"/>
            </w:pPr>
            <w:r>
              <w:t>完成时间</w:t>
            </w:r>
          </w:p>
        </w:tc>
        <w:tc>
          <w:tcPr>
            <w:tcW w:w="7581" w:type="dxa"/>
            <w:gridSpan w:val="3"/>
            <w:tcBorders>
              <w:tl2br w:val="nil"/>
              <w:tr2bl w:val="nil"/>
            </w:tcBorders>
            <w:noWrap w:val="0"/>
            <w:vAlign w:val="center"/>
          </w:tcPr>
          <w:p w14:paraId="51752F9F">
            <w:pPr>
              <w:pStyle w:val="19"/>
              <w:bidi w:val="0"/>
              <w:rPr>
                <w:rFonts w:hint="default"/>
                <w:lang w:val="en-US" w:eastAsia="zh-CN"/>
              </w:rPr>
            </w:pPr>
            <w:r>
              <w:rPr>
                <w:rFonts w:hint="eastAsia"/>
                <w:lang w:val="en-US" w:eastAsia="zh-CN"/>
              </w:rPr>
              <w:t>2024.6</w:t>
            </w:r>
          </w:p>
        </w:tc>
      </w:tr>
      <w:tr w14:paraId="6D85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9354" w:type="dxa"/>
            <w:gridSpan w:val="4"/>
            <w:tcBorders>
              <w:tl2br w:val="nil"/>
              <w:tr2bl w:val="nil"/>
            </w:tcBorders>
            <w:noWrap w:val="0"/>
            <w:vAlign w:val="center"/>
          </w:tcPr>
          <w:p w14:paraId="2A845D0C">
            <w:pPr>
              <w:pStyle w:val="19"/>
              <w:bidi w:val="0"/>
            </w:pPr>
            <w:r>
              <w:rPr>
                <w:rFonts w:hint="eastAsia"/>
              </w:rPr>
              <w:t>评价人员</w:t>
            </w:r>
          </w:p>
        </w:tc>
      </w:tr>
      <w:tr w14:paraId="00AD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3DFF04">
            <w:pPr>
              <w:pStyle w:val="19"/>
              <w:bidi w:val="0"/>
            </w:pPr>
          </w:p>
        </w:tc>
        <w:tc>
          <w:tcPr>
            <w:tcW w:w="1820" w:type="dxa"/>
            <w:tcBorders>
              <w:tl2br w:val="nil"/>
              <w:tr2bl w:val="nil"/>
            </w:tcBorders>
            <w:noWrap w:val="0"/>
            <w:vAlign w:val="center"/>
          </w:tcPr>
          <w:p w14:paraId="117C47F1">
            <w:pPr>
              <w:pStyle w:val="19"/>
              <w:bidi w:val="0"/>
            </w:pPr>
            <w:r>
              <w:t>姓名</w:t>
            </w:r>
          </w:p>
        </w:tc>
        <w:tc>
          <w:tcPr>
            <w:tcW w:w="3864" w:type="dxa"/>
            <w:tcBorders>
              <w:tl2br w:val="nil"/>
              <w:tr2bl w:val="nil"/>
            </w:tcBorders>
            <w:noWrap w:val="0"/>
            <w:vAlign w:val="center"/>
          </w:tcPr>
          <w:p w14:paraId="564D106C">
            <w:pPr>
              <w:pStyle w:val="19"/>
              <w:bidi w:val="0"/>
            </w:pPr>
            <w:r>
              <w:t>资格证书号</w:t>
            </w:r>
          </w:p>
        </w:tc>
        <w:tc>
          <w:tcPr>
            <w:tcW w:w="1897" w:type="dxa"/>
            <w:tcBorders>
              <w:tl2br w:val="nil"/>
              <w:tr2bl w:val="nil"/>
            </w:tcBorders>
            <w:noWrap w:val="0"/>
            <w:vAlign w:val="center"/>
          </w:tcPr>
          <w:p w14:paraId="4D152355">
            <w:pPr>
              <w:pStyle w:val="19"/>
              <w:bidi w:val="0"/>
            </w:pPr>
            <w:r>
              <w:t>从业号</w:t>
            </w:r>
          </w:p>
        </w:tc>
      </w:tr>
      <w:tr w14:paraId="282B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243F1C4">
            <w:pPr>
              <w:pStyle w:val="19"/>
              <w:bidi w:val="0"/>
            </w:pPr>
            <w:r>
              <w:t>项目负责人</w:t>
            </w:r>
          </w:p>
        </w:tc>
        <w:tc>
          <w:tcPr>
            <w:tcW w:w="1820" w:type="dxa"/>
            <w:tcBorders>
              <w:tl2br w:val="nil"/>
              <w:tr2bl w:val="nil"/>
            </w:tcBorders>
            <w:noWrap w:val="0"/>
            <w:vAlign w:val="center"/>
          </w:tcPr>
          <w:p w14:paraId="1D4E124B">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189D9EE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83DF789">
            <w:pPr>
              <w:jc w:val="center"/>
            </w:pPr>
            <w:r>
              <w:rPr>
                <w:rFonts w:hint="eastAsia" w:ascii="宋体" w:hAnsi="宋体" w:cs="宋体"/>
                <w:color w:val="auto"/>
                <w:kern w:val="0"/>
                <w:sz w:val="24"/>
                <w:szCs w:val="20"/>
              </w:rPr>
              <w:t>030150</w:t>
            </w:r>
          </w:p>
        </w:tc>
      </w:tr>
      <w:tr w14:paraId="60552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4489B7EF">
            <w:pPr>
              <w:pStyle w:val="19"/>
              <w:bidi w:val="0"/>
            </w:pPr>
            <w:r>
              <w:t>项目组成员</w:t>
            </w:r>
          </w:p>
        </w:tc>
        <w:tc>
          <w:tcPr>
            <w:tcW w:w="1820" w:type="dxa"/>
            <w:tcBorders>
              <w:tl2br w:val="nil"/>
              <w:tr2bl w:val="nil"/>
            </w:tcBorders>
            <w:noWrap w:val="0"/>
            <w:vAlign w:val="center"/>
          </w:tcPr>
          <w:p w14:paraId="771C369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4BCD328F">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2DF36589">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481DE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ED05236">
            <w:pPr>
              <w:pStyle w:val="19"/>
              <w:bidi w:val="0"/>
            </w:pPr>
          </w:p>
        </w:tc>
        <w:tc>
          <w:tcPr>
            <w:tcW w:w="1820" w:type="dxa"/>
            <w:tcBorders>
              <w:tl2br w:val="nil"/>
              <w:tr2bl w:val="nil"/>
            </w:tcBorders>
            <w:noWrap w:val="0"/>
            <w:vAlign w:val="center"/>
          </w:tcPr>
          <w:p w14:paraId="6EF6C5C1">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1AE666F">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61ED8BA9">
            <w:pPr>
              <w:jc w:val="center"/>
            </w:pPr>
            <w:r>
              <w:rPr>
                <w:rFonts w:hint="eastAsia" w:ascii="宋体" w:hAnsi="宋体" w:cs="宋体"/>
                <w:color w:val="auto"/>
                <w:kern w:val="0"/>
                <w:sz w:val="24"/>
                <w:szCs w:val="20"/>
              </w:rPr>
              <w:t>038953</w:t>
            </w:r>
          </w:p>
        </w:tc>
      </w:tr>
      <w:tr w14:paraId="17BBA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773" w:type="dxa"/>
            <w:vMerge w:val="continue"/>
            <w:tcBorders>
              <w:tl2br w:val="nil"/>
              <w:tr2bl w:val="nil"/>
            </w:tcBorders>
            <w:noWrap w:val="0"/>
            <w:vAlign w:val="center"/>
          </w:tcPr>
          <w:p w14:paraId="390D3F29">
            <w:pPr>
              <w:pStyle w:val="19"/>
              <w:bidi w:val="0"/>
            </w:pPr>
          </w:p>
        </w:tc>
        <w:tc>
          <w:tcPr>
            <w:tcW w:w="1820" w:type="dxa"/>
            <w:tcBorders>
              <w:tl2br w:val="nil"/>
              <w:tr2bl w:val="nil"/>
            </w:tcBorders>
            <w:noWrap w:val="0"/>
            <w:vAlign w:val="center"/>
          </w:tcPr>
          <w:p w14:paraId="2DD0D5A0">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3621E892">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71BB920F">
            <w:pPr>
              <w:jc w:val="center"/>
            </w:pPr>
            <w:r>
              <w:rPr>
                <w:rFonts w:hint="eastAsia" w:ascii="宋体" w:hAnsi="宋体" w:cs="宋体"/>
                <w:color w:val="auto"/>
                <w:kern w:val="0"/>
                <w:sz w:val="24"/>
                <w:szCs w:val="20"/>
              </w:rPr>
              <w:t>019967</w:t>
            </w:r>
          </w:p>
        </w:tc>
      </w:tr>
      <w:tr w14:paraId="60065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687B435B">
            <w:pPr>
              <w:pStyle w:val="19"/>
              <w:bidi w:val="0"/>
            </w:pPr>
          </w:p>
        </w:tc>
        <w:tc>
          <w:tcPr>
            <w:tcW w:w="1820" w:type="dxa"/>
            <w:tcBorders>
              <w:tl2br w:val="nil"/>
              <w:tr2bl w:val="nil"/>
            </w:tcBorders>
            <w:noWrap w:val="0"/>
            <w:vAlign w:val="center"/>
          </w:tcPr>
          <w:p w14:paraId="5C44DD64">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6EF11CA3">
            <w:pPr>
              <w:jc w:val="center"/>
            </w:pPr>
            <w:r>
              <w:rPr>
                <w:rFonts w:hint="eastAsia" w:ascii="宋体"/>
                <w:color w:val="auto"/>
                <w:sz w:val="24"/>
              </w:rPr>
              <w:t>S011035000110203001148</w:t>
            </w:r>
          </w:p>
        </w:tc>
        <w:tc>
          <w:tcPr>
            <w:tcW w:w="1897" w:type="dxa"/>
            <w:tcBorders>
              <w:tl2br w:val="nil"/>
              <w:tr2bl w:val="nil"/>
            </w:tcBorders>
            <w:noWrap w:val="0"/>
            <w:vAlign w:val="center"/>
          </w:tcPr>
          <w:p w14:paraId="7ACDADF7">
            <w:pPr>
              <w:jc w:val="center"/>
            </w:pPr>
            <w:r>
              <w:rPr>
                <w:rFonts w:hint="eastAsia" w:ascii="宋体"/>
                <w:color w:val="auto"/>
                <w:sz w:val="24"/>
              </w:rPr>
              <w:t>040277</w:t>
            </w:r>
          </w:p>
        </w:tc>
      </w:tr>
      <w:tr w14:paraId="6E01F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2C75F47">
            <w:pPr>
              <w:pStyle w:val="19"/>
              <w:bidi w:val="0"/>
            </w:pPr>
            <w:r>
              <w:t>技术专家</w:t>
            </w:r>
          </w:p>
        </w:tc>
        <w:tc>
          <w:tcPr>
            <w:tcW w:w="7581" w:type="dxa"/>
            <w:gridSpan w:val="3"/>
            <w:tcBorders>
              <w:tl2br w:val="nil"/>
              <w:tr2bl w:val="nil"/>
            </w:tcBorders>
            <w:noWrap w:val="0"/>
            <w:vAlign w:val="center"/>
          </w:tcPr>
          <w:p w14:paraId="07F30F8C">
            <w:pPr>
              <w:pStyle w:val="19"/>
              <w:bidi w:val="0"/>
            </w:pPr>
            <w:r>
              <w:t>/</w:t>
            </w:r>
          </w:p>
        </w:tc>
      </w:tr>
      <w:tr w14:paraId="4CC97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1F895C3D">
            <w:pPr>
              <w:pStyle w:val="19"/>
              <w:bidi w:val="0"/>
            </w:pPr>
            <w:r>
              <w:t>现场勘察人员及时间</w:t>
            </w:r>
          </w:p>
        </w:tc>
        <w:tc>
          <w:tcPr>
            <w:tcW w:w="7581" w:type="dxa"/>
            <w:gridSpan w:val="3"/>
            <w:tcBorders>
              <w:tl2br w:val="nil"/>
              <w:tr2bl w:val="nil"/>
            </w:tcBorders>
            <w:noWrap w:val="0"/>
            <w:vAlign w:val="center"/>
          </w:tcPr>
          <w:p w14:paraId="546A2AF8">
            <w:pPr>
              <w:pStyle w:val="19"/>
              <w:bidi w:val="0"/>
              <w:rPr>
                <w:rFonts w:hint="default"/>
                <w:lang w:val="en-US" w:eastAsia="zh-CN"/>
              </w:rPr>
            </w:pPr>
            <w:r>
              <w:rPr>
                <w:rFonts w:hint="eastAsia"/>
                <w:lang w:val="en-US" w:eastAsia="zh-CN"/>
              </w:rPr>
              <w:t>曹国强、陈明基 2023.11.17</w:t>
            </w:r>
          </w:p>
        </w:tc>
      </w:tr>
      <w:tr w14:paraId="4DFF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FB5E541">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7E6D3CEE">
            <w:pPr>
              <w:pStyle w:val="19"/>
              <w:bidi w:val="0"/>
              <w:rPr>
                <w:rFonts w:hint="default"/>
                <w:lang w:val="en-US" w:eastAsia="zh-CN"/>
              </w:rPr>
            </w:pPr>
          </w:p>
        </w:tc>
      </w:tr>
      <w:tr w14:paraId="77851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0FD92B9D">
            <w:pPr>
              <w:pStyle w:val="19"/>
              <w:bidi w:val="0"/>
            </w:pPr>
            <w:r>
              <w:t>项目简介</w:t>
            </w:r>
          </w:p>
        </w:tc>
        <w:tc>
          <w:tcPr>
            <w:tcW w:w="7581" w:type="dxa"/>
            <w:gridSpan w:val="3"/>
            <w:tcBorders>
              <w:tl2br w:val="nil"/>
              <w:tr2bl w:val="nil"/>
            </w:tcBorders>
            <w:noWrap w:val="0"/>
            <w:vAlign w:val="top"/>
          </w:tcPr>
          <w:p w14:paraId="709C149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中铜东南铜业有限公司安全现状评价分为“冶炼系统分册”和“烟气制酸系统、发烟酸系统、硫酸镍系统分册”、“酸库及装酸设施分册”、“码头输酸管道分册”，本册为“烟气制酸系统、发烟酸系统、硫酸镍系统分册”。</w:t>
            </w:r>
          </w:p>
          <w:p w14:paraId="692270A4">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lang w:val="en-US" w:eastAsia="zh-CN"/>
              </w:rPr>
              <w:t>该公司为大型铜冶炼项目，以铜精矿为原料，设计规模为40万吨阴极铜/年，项目铜火法冶炼主工艺采用双闪工艺，制酸系统主要处理闪速熔炼炉、闪速吹炼炉及阳极炉的烟气。与年产40万吨阴极铜的冶炼系统配套建设烟气制酸系统，硫酸产量为1462kt/a（均以100％H2SO4计）。烟气制酸系统为“一头两尾”，包括净化工序、1#干吸工序和2#干吸工序、1#转化工序和2#转化工序、酸库及装酸设施、废酸处理站、硫酸尾气脱硫。采用“非衡态”高浓度转化工艺。</w:t>
            </w:r>
          </w:p>
          <w:p w14:paraId="39561D19">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该公司</w:t>
            </w:r>
            <w:r>
              <w:rPr>
                <w:rFonts w:hint="eastAsia" w:ascii="宋体" w:hAnsi="宋体" w:eastAsia="宋体" w:cs="Times New Roman"/>
                <w:lang w:val="en-US" w:eastAsia="zh-CN"/>
              </w:rPr>
              <w:t>烟气制酸系统、发烟酸系统、硫酸镍系统</w:t>
            </w:r>
            <w:r>
              <w:rPr>
                <w:rFonts w:hint="eastAsia" w:ascii="宋体" w:hAnsi="宋体" w:eastAsia="宋体" w:cs="Times New Roman"/>
                <w:lang w:eastAsia="zh-CN"/>
              </w:rPr>
              <w:t>选择了成熟、可靠的生产工艺及设备，具有较高的安全生产可靠性。该公司已严格按照有关法律法规及部门规章的要求，切实承担安全生产责任，履行各项安全生产义务，严格执行各项安全管理制度和安全操作规程，加强对从业人员的安全教育与培训。该公司应做好事故隐患整改工作，且该公司已按照本报告第七章安全对策措施与建议的有关内容进行整改，故该公司的安全生产的风险是可接受的，具备安全生产条件。</w:t>
            </w:r>
          </w:p>
        </w:tc>
      </w:tr>
      <w:tr w14:paraId="2947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7E6BA2D4">
            <w:pPr>
              <w:pStyle w:val="19"/>
              <w:bidi w:val="0"/>
            </w:pPr>
            <w:r>
              <w:t>现场照片</w:t>
            </w:r>
          </w:p>
        </w:tc>
        <w:tc>
          <w:tcPr>
            <w:tcW w:w="7581" w:type="dxa"/>
            <w:gridSpan w:val="3"/>
            <w:tcBorders>
              <w:tl2br w:val="nil"/>
              <w:tr2bl w:val="nil"/>
            </w:tcBorders>
            <w:noWrap w:val="0"/>
            <w:vAlign w:val="top"/>
          </w:tcPr>
          <w:p w14:paraId="738C72D4">
            <w:pPr>
              <w:pStyle w:val="19"/>
              <w:bidi w:val="0"/>
              <w:rPr>
                <w:rFonts w:hint="default"/>
                <w:lang w:val="en-US" w:eastAsia="zh-CN"/>
              </w:rPr>
            </w:pPr>
            <w:bookmarkStart w:id="0" w:name="_GoBack"/>
            <w:r>
              <w:rPr>
                <w:rFonts w:hint="default"/>
                <w:lang w:val="en-US" w:eastAsia="zh-CN"/>
              </w:rPr>
              <w:drawing>
                <wp:inline distT="0" distB="0" distL="114300" distR="114300">
                  <wp:extent cx="4762500" cy="3571875"/>
                  <wp:effectExtent l="0" t="0" r="0" b="9525"/>
                  <wp:docPr id="2" name="图片 21" descr="出访照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1" descr="出访照片 (9)"/>
                          <pic:cNvPicPr>
                            <a:picLocks noChangeAspect="1"/>
                          </pic:cNvPicPr>
                        </pic:nvPicPr>
                        <pic:blipFill>
                          <a:blip r:embed="rId5"/>
                          <a:stretch>
                            <a:fillRect/>
                          </a:stretch>
                        </pic:blipFill>
                        <pic:spPr>
                          <a:xfrm>
                            <a:off x="0" y="0"/>
                            <a:ext cx="4762500" cy="3571875"/>
                          </a:xfrm>
                          <a:prstGeom prst="rect">
                            <a:avLst/>
                          </a:prstGeom>
                          <a:noFill/>
                          <a:ln>
                            <a:noFill/>
                          </a:ln>
                        </pic:spPr>
                      </pic:pic>
                    </a:graphicData>
                  </a:graphic>
                </wp:inline>
              </w:drawing>
            </w:r>
            <w:bookmarkEnd w:id="0"/>
          </w:p>
          <w:p w14:paraId="4F5172A5">
            <w:pPr>
              <w:pStyle w:val="19"/>
              <w:bidi w:val="0"/>
              <w:rPr>
                <w:rFonts w:hint="default"/>
                <w:lang w:val="en-US" w:eastAsia="zh-CN"/>
              </w:rPr>
            </w:pPr>
            <w:r>
              <w:rPr>
                <w:rFonts w:hint="default"/>
                <w:lang w:val="en-US" w:eastAsia="zh-CN"/>
              </w:rPr>
              <w:drawing>
                <wp:inline distT="0" distB="0" distL="114300" distR="114300">
                  <wp:extent cx="4762500" cy="3571875"/>
                  <wp:effectExtent l="0" t="0" r="0" b="9525"/>
                  <wp:docPr id="1" name="图片 20" descr="现场核查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0" descr="现场核查 (1)"/>
                          <pic:cNvPicPr>
                            <a:picLocks noChangeAspect="1"/>
                          </pic:cNvPicPr>
                        </pic:nvPicPr>
                        <pic:blipFill>
                          <a:blip r:embed="rId6"/>
                          <a:stretch>
                            <a:fillRect/>
                          </a:stretch>
                        </pic:blipFill>
                        <pic:spPr>
                          <a:xfrm>
                            <a:off x="0" y="0"/>
                            <a:ext cx="4762500" cy="3571875"/>
                          </a:xfrm>
                          <a:prstGeom prst="rect">
                            <a:avLst/>
                          </a:prstGeom>
                          <a:noFill/>
                          <a:ln>
                            <a:noFill/>
                          </a:ln>
                        </pic:spPr>
                      </pic:pic>
                    </a:graphicData>
                  </a:graphic>
                </wp:inline>
              </w:drawing>
            </w:r>
          </w:p>
        </w:tc>
      </w:tr>
      <w:tr w14:paraId="0D4D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7E5A095">
            <w:pPr>
              <w:pStyle w:val="19"/>
              <w:bidi w:val="0"/>
            </w:pPr>
            <w:r>
              <w:t>被评价单位信息反馈情况</w:t>
            </w:r>
          </w:p>
        </w:tc>
        <w:tc>
          <w:tcPr>
            <w:tcW w:w="7581" w:type="dxa"/>
            <w:gridSpan w:val="3"/>
            <w:tcBorders>
              <w:tl2br w:val="nil"/>
              <w:tr2bl w:val="nil"/>
            </w:tcBorders>
            <w:noWrap w:val="0"/>
            <w:vAlign w:val="center"/>
          </w:tcPr>
          <w:p w14:paraId="07AFCD63">
            <w:pPr>
              <w:pStyle w:val="19"/>
              <w:bidi w:val="0"/>
            </w:pPr>
            <w:r>
              <w:t>满意</w:t>
            </w:r>
          </w:p>
        </w:tc>
      </w:tr>
    </w:tbl>
    <w:p w14:paraId="6F687059">
      <w:pPr>
        <w:keepNext w:val="0"/>
        <w:keepLines w:val="0"/>
        <w:pageBreakBefore/>
        <w:widowControl w:val="0"/>
        <w:kinsoku/>
        <w:wordWrap/>
        <w:overflowPunct/>
        <w:topLinePunct w:val="0"/>
        <w:autoSpaceDE/>
        <w:autoSpaceDN/>
        <w:bidi w:val="0"/>
        <w:adjustRightInd/>
        <w:snapToGrid/>
        <w:textAlignment w:val="auto"/>
      </w:pPr>
      <w:r>
        <w:rPr>
          <w:rFonts w:hint="eastAsia"/>
        </w:rPr>
        <w:t>安全评价报告</w:t>
      </w:r>
      <w:r>
        <w:t>公开信息表</w:t>
      </w:r>
    </w:p>
    <w:tbl>
      <w:tblPr>
        <w:tblStyle w:val="16"/>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73"/>
        <w:gridCol w:w="1820"/>
        <w:gridCol w:w="3864"/>
        <w:gridCol w:w="1897"/>
      </w:tblGrid>
      <w:tr w14:paraId="48E5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E43A784">
            <w:pPr>
              <w:pStyle w:val="19"/>
              <w:bidi w:val="0"/>
            </w:pPr>
            <w:r>
              <w:t>项目名称</w:t>
            </w:r>
          </w:p>
        </w:tc>
        <w:tc>
          <w:tcPr>
            <w:tcW w:w="7581" w:type="dxa"/>
            <w:gridSpan w:val="3"/>
            <w:tcBorders>
              <w:tl2br w:val="nil"/>
              <w:tr2bl w:val="nil"/>
            </w:tcBorders>
            <w:noWrap w:val="0"/>
            <w:vAlign w:val="center"/>
          </w:tcPr>
          <w:p w14:paraId="295FDC8F">
            <w:pPr>
              <w:pStyle w:val="19"/>
              <w:bidi w:val="0"/>
              <w:rPr>
                <w:rFonts w:hint="default" w:eastAsia="宋体"/>
                <w:lang w:val="en-US" w:eastAsia="zh-CN"/>
              </w:rPr>
            </w:pPr>
            <w:r>
              <w:rPr>
                <w:rFonts w:hint="eastAsia" w:ascii="宋体" w:hAnsi="宋体" w:cs="宋体"/>
                <w:color w:val="auto"/>
                <w:kern w:val="0"/>
                <w:sz w:val="24"/>
                <w:szCs w:val="20"/>
              </w:rPr>
              <w:t>中铜东南铜业有限公司（酸库及装酸设施分册）安全现状评价报告</w:t>
            </w:r>
          </w:p>
        </w:tc>
      </w:tr>
      <w:tr w14:paraId="567D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6EFE86BD">
            <w:pPr>
              <w:pStyle w:val="19"/>
              <w:bidi w:val="0"/>
            </w:pPr>
            <w:r>
              <w:t>完成时间</w:t>
            </w:r>
          </w:p>
        </w:tc>
        <w:tc>
          <w:tcPr>
            <w:tcW w:w="7581" w:type="dxa"/>
            <w:gridSpan w:val="3"/>
            <w:tcBorders>
              <w:tl2br w:val="nil"/>
              <w:tr2bl w:val="nil"/>
            </w:tcBorders>
            <w:noWrap w:val="0"/>
            <w:vAlign w:val="center"/>
          </w:tcPr>
          <w:p w14:paraId="65083205">
            <w:pPr>
              <w:pStyle w:val="19"/>
              <w:bidi w:val="0"/>
              <w:rPr>
                <w:rFonts w:hint="default"/>
                <w:lang w:val="en-US" w:eastAsia="zh-CN"/>
              </w:rPr>
            </w:pPr>
            <w:r>
              <w:rPr>
                <w:rFonts w:hint="eastAsia"/>
                <w:lang w:val="en-US" w:eastAsia="zh-CN"/>
              </w:rPr>
              <w:t>2024.6</w:t>
            </w:r>
          </w:p>
        </w:tc>
      </w:tr>
      <w:tr w14:paraId="6126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9354" w:type="dxa"/>
            <w:gridSpan w:val="4"/>
            <w:tcBorders>
              <w:tl2br w:val="nil"/>
              <w:tr2bl w:val="nil"/>
            </w:tcBorders>
            <w:noWrap w:val="0"/>
            <w:vAlign w:val="center"/>
          </w:tcPr>
          <w:p w14:paraId="7C9387DF">
            <w:pPr>
              <w:pStyle w:val="19"/>
              <w:bidi w:val="0"/>
            </w:pPr>
            <w:r>
              <w:rPr>
                <w:rFonts w:hint="eastAsia"/>
              </w:rPr>
              <w:t>评价人员</w:t>
            </w:r>
          </w:p>
        </w:tc>
      </w:tr>
      <w:tr w14:paraId="3EEC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49834A1F">
            <w:pPr>
              <w:pStyle w:val="19"/>
              <w:bidi w:val="0"/>
            </w:pPr>
          </w:p>
        </w:tc>
        <w:tc>
          <w:tcPr>
            <w:tcW w:w="1820" w:type="dxa"/>
            <w:tcBorders>
              <w:tl2br w:val="nil"/>
              <w:tr2bl w:val="nil"/>
            </w:tcBorders>
            <w:noWrap w:val="0"/>
            <w:vAlign w:val="center"/>
          </w:tcPr>
          <w:p w14:paraId="1F62B49D">
            <w:pPr>
              <w:pStyle w:val="19"/>
              <w:bidi w:val="0"/>
            </w:pPr>
            <w:r>
              <w:t>姓名</w:t>
            </w:r>
          </w:p>
        </w:tc>
        <w:tc>
          <w:tcPr>
            <w:tcW w:w="3864" w:type="dxa"/>
            <w:tcBorders>
              <w:tl2br w:val="nil"/>
              <w:tr2bl w:val="nil"/>
            </w:tcBorders>
            <w:noWrap w:val="0"/>
            <w:vAlign w:val="center"/>
          </w:tcPr>
          <w:p w14:paraId="27F3B32E">
            <w:pPr>
              <w:pStyle w:val="19"/>
              <w:bidi w:val="0"/>
            </w:pPr>
            <w:r>
              <w:t>资格证书号</w:t>
            </w:r>
          </w:p>
        </w:tc>
        <w:tc>
          <w:tcPr>
            <w:tcW w:w="1897" w:type="dxa"/>
            <w:tcBorders>
              <w:tl2br w:val="nil"/>
              <w:tr2bl w:val="nil"/>
            </w:tcBorders>
            <w:noWrap w:val="0"/>
            <w:vAlign w:val="center"/>
          </w:tcPr>
          <w:p w14:paraId="6A20E587">
            <w:pPr>
              <w:pStyle w:val="19"/>
              <w:bidi w:val="0"/>
            </w:pPr>
            <w:r>
              <w:t>从业号</w:t>
            </w:r>
          </w:p>
        </w:tc>
      </w:tr>
      <w:tr w14:paraId="2658D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359F16A">
            <w:pPr>
              <w:pStyle w:val="19"/>
              <w:bidi w:val="0"/>
            </w:pPr>
            <w:r>
              <w:t>项目负责人</w:t>
            </w:r>
          </w:p>
        </w:tc>
        <w:tc>
          <w:tcPr>
            <w:tcW w:w="1820" w:type="dxa"/>
            <w:tcBorders>
              <w:tl2br w:val="nil"/>
              <w:tr2bl w:val="nil"/>
            </w:tcBorders>
            <w:noWrap w:val="0"/>
            <w:vAlign w:val="center"/>
          </w:tcPr>
          <w:p w14:paraId="791272C3">
            <w:pPr>
              <w:jc w:val="center"/>
              <w:rPr>
                <w:rFonts w:hint="default"/>
                <w:lang w:val="en-US" w:eastAsia="zh-CN"/>
              </w:rPr>
            </w:pPr>
            <w:r>
              <w:rPr>
                <w:rFonts w:hint="eastAsia" w:ascii="宋体"/>
                <w:color w:val="auto"/>
                <w:sz w:val="24"/>
              </w:rPr>
              <w:t>曹国强</w:t>
            </w:r>
          </w:p>
        </w:tc>
        <w:tc>
          <w:tcPr>
            <w:tcW w:w="3864" w:type="dxa"/>
            <w:tcBorders>
              <w:tl2br w:val="nil"/>
              <w:tr2bl w:val="nil"/>
            </w:tcBorders>
            <w:noWrap w:val="0"/>
            <w:vAlign w:val="center"/>
          </w:tcPr>
          <w:p w14:paraId="2FF4E704">
            <w:pPr>
              <w:jc w:val="center"/>
            </w:pPr>
            <w:r>
              <w:rPr>
                <w:rFonts w:hint="eastAsia" w:ascii="宋体" w:hAnsi="宋体" w:cs="宋体"/>
                <w:color w:val="auto"/>
                <w:kern w:val="0"/>
                <w:sz w:val="24"/>
                <w:szCs w:val="20"/>
              </w:rPr>
              <w:t>S011035000110202001343</w:t>
            </w:r>
          </w:p>
        </w:tc>
        <w:tc>
          <w:tcPr>
            <w:tcW w:w="1897" w:type="dxa"/>
            <w:tcBorders>
              <w:tl2br w:val="nil"/>
              <w:tr2bl w:val="nil"/>
            </w:tcBorders>
            <w:noWrap w:val="0"/>
            <w:vAlign w:val="center"/>
          </w:tcPr>
          <w:p w14:paraId="2E523CE9">
            <w:pPr>
              <w:jc w:val="center"/>
            </w:pPr>
            <w:r>
              <w:rPr>
                <w:rFonts w:hint="eastAsia" w:ascii="宋体" w:hAnsi="宋体" w:cs="宋体"/>
                <w:color w:val="auto"/>
                <w:kern w:val="0"/>
                <w:sz w:val="24"/>
                <w:szCs w:val="20"/>
              </w:rPr>
              <w:t>030150</w:t>
            </w:r>
          </w:p>
        </w:tc>
      </w:tr>
      <w:tr w14:paraId="4F5B2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restart"/>
            <w:tcBorders>
              <w:tl2br w:val="nil"/>
              <w:tr2bl w:val="nil"/>
            </w:tcBorders>
            <w:noWrap w:val="0"/>
            <w:vAlign w:val="center"/>
          </w:tcPr>
          <w:p w14:paraId="1A925FC9">
            <w:pPr>
              <w:pStyle w:val="19"/>
              <w:bidi w:val="0"/>
            </w:pPr>
            <w:r>
              <w:t>项目组成员</w:t>
            </w:r>
          </w:p>
        </w:tc>
        <w:tc>
          <w:tcPr>
            <w:tcW w:w="1820" w:type="dxa"/>
            <w:tcBorders>
              <w:tl2br w:val="nil"/>
              <w:tr2bl w:val="nil"/>
            </w:tcBorders>
            <w:noWrap w:val="0"/>
            <w:vAlign w:val="center"/>
          </w:tcPr>
          <w:p w14:paraId="2C1C49D1">
            <w:pPr>
              <w:jc w:val="center"/>
              <w:rPr>
                <w:rFonts w:hint="default" w:eastAsia="宋体"/>
                <w:lang w:val="en-US" w:eastAsia="zh-CN"/>
              </w:rPr>
            </w:pPr>
            <w:r>
              <w:rPr>
                <w:rFonts w:hint="eastAsia" w:ascii="宋体" w:hAnsi="宋体" w:cs="宋体"/>
                <w:color w:val="auto"/>
                <w:kern w:val="0"/>
                <w:sz w:val="24"/>
                <w:szCs w:val="20"/>
                <w:lang w:val="en-US" w:eastAsia="zh-CN"/>
              </w:rPr>
              <w:t>张晋慧</w:t>
            </w:r>
          </w:p>
        </w:tc>
        <w:tc>
          <w:tcPr>
            <w:tcW w:w="3864" w:type="dxa"/>
            <w:tcBorders>
              <w:tl2br w:val="nil"/>
              <w:tr2bl w:val="nil"/>
            </w:tcBorders>
            <w:noWrap w:val="0"/>
            <w:vAlign w:val="center"/>
          </w:tcPr>
          <w:p w14:paraId="63567689">
            <w:pPr>
              <w:jc w:val="center"/>
              <w:rPr>
                <w:rFonts w:hint="eastAsia" w:ascii="宋体" w:hAnsi="宋体" w:eastAsia="宋体" w:cs="宋体"/>
                <w:color w:val="auto"/>
                <w:kern w:val="0"/>
                <w:sz w:val="24"/>
                <w:szCs w:val="20"/>
              </w:rPr>
            </w:pPr>
            <w:r>
              <w:rPr>
                <w:rFonts w:hint="eastAsia" w:ascii="宋体" w:hAnsi="宋体" w:eastAsia="宋体" w:cs="宋体"/>
                <w:color w:val="auto"/>
                <w:kern w:val="0"/>
                <w:sz w:val="24"/>
                <w:szCs w:val="20"/>
              </w:rPr>
              <w:t>1100000000302946</w:t>
            </w:r>
          </w:p>
        </w:tc>
        <w:tc>
          <w:tcPr>
            <w:tcW w:w="1897" w:type="dxa"/>
            <w:tcBorders>
              <w:tl2br w:val="nil"/>
              <w:tr2bl w:val="nil"/>
            </w:tcBorders>
            <w:noWrap w:val="0"/>
            <w:vAlign w:val="center"/>
          </w:tcPr>
          <w:p w14:paraId="16907221">
            <w:pPr>
              <w:jc w:val="center"/>
              <w:rPr>
                <w:rFonts w:hint="default"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020045</w:t>
            </w:r>
          </w:p>
        </w:tc>
      </w:tr>
      <w:tr w14:paraId="02B0B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34E7C10C">
            <w:pPr>
              <w:pStyle w:val="19"/>
              <w:bidi w:val="0"/>
            </w:pPr>
          </w:p>
        </w:tc>
        <w:tc>
          <w:tcPr>
            <w:tcW w:w="1820" w:type="dxa"/>
            <w:tcBorders>
              <w:tl2br w:val="nil"/>
              <w:tr2bl w:val="nil"/>
            </w:tcBorders>
            <w:noWrap w:val="0"/>
            <w:vAlign w:val="center"/>
          </w:tcPr>
          <w:p w14:paraId="6F42B064">
            <w:pPr>
              <w:jc w:val="center"/>
              <w:rPr>
                <w:rFonts w:hint="default"/>
                <w:lang w:val="en-US" w:eastAsia="zh-CN"/>
              </w:rPr>
            </w:pPr>
            <w:r>
              <w:rPr>
                <w:rFonts w:hint="eastAsia" w:ascii="宋体" w:hAnsi="宋体" w:cs="宋体"/>
                <w:color w:val="auto"/>
                <w:kern w:val="0"/>
                <w:sz w:val="24"/>
                <w:szCs w:val="20"/>
              </w:rPr>
              <w:t>韦根远</w:t>
            </w:r>
          </w:p>
        </w:tc>
        <w:tc>
          <w:tcPr>
            <w:tcW w:w="3864" w:type="dxa"/>
            <w:tcBorders>
              <w:tl2br w:val="nil"/>
              <w:tr2bl w:val="nil"/>
            </w:tcBorders>
            <w:noWrap w:val="0"/>
            <w:vAlign w:val="center"/>
          </w:tcPr>
          <w:p w14:paraId="5FF5F3ED">
            <w:pPr>
              <w:jc w:val="center"/>
            </w:pPr>
            <w:r>
              <w:rPr>
                <w:rFonts w:hint="eastAsia" w:ascii="宋体" w:hAnsi="宋体" w:cs="宋体"/>
                <w:color w:val="auto"/>
                <w:kern w:val="0"/>
                <w:sz w:val="24"/>
                <w:szCs w:val="20"/>
              </w:rPr>
              <w:t>S011035000110192001611</w:t>
            </w:r>
          </w:p>
        </w:tc>
        <w:tc>
          <w:tcPr>
            <w:tcW w:w="1897" w:type="dxa"/>
            <w:tcBorders>
              <w:tl2br w:val="nil"/>
              <w:tr2bl w:val="nil"/>
            </w:tcBorders>
            <w:noWrap w:val="0"/>
            <w:vAlign w:val="center"/>
          </w:tcPr>
          <w:p w14:paraId="4FE305C1">
            <w:pPr>
              <w:jc w:val="center"/>
            </w:pPr>
            <w:r>
              <w:rPr>
                <w:rFonts w:hint="eastAsia" w:ascii="宋体" w:hAnsi="宋体" w:cs="宋体"/>
                <w:color w:val="auto"/>
                <w:kern w:val="0"/>
                <w:sz w:val="24"/>
                <w:szCs w:val="20"/>
              </w:rPr>
              <w:t>038953</w:t>
            </w:r>
          </w:p>
        </w:tc>
      </w:tr>
      <w:tr w14:paraId="01FB7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4FC1DC92">
            <w:pPr>
              <w:pStyle w:val="19"/>
              <w:bidi w:val="0"/>
            </w:pPr>
          </w:p>
        </w:tc>
        <w:tc>
          <w:tcPr>
            <w:tcW w:w="1820" w:type="dxa"/>
            <w:tcBorders>
              <w:tl2br w:val="nil"/>
              <w:tr2bl w:val="nil"/>
            </w:tcBorders>
            <w:noWrap w:val="0"/>
            <w:vAlign w:val="center"/>
          </w:tcPr>
          <w:p w14:paraId="2E730158">
            <w:pPr>
              <w:jc w:val="center"/>
              <w:rPr>
                <w:rFonts w:hint="default"/>
                <w:lang w:val="en-US" w:eastAsia="zh-CN"/>
              </w:rPr>
            </w:pPr>
            <w:r>
              <w:rPr>
                <w:rFonts w:hint="eastAsia" w:ascii="宋体" w:hAnsi="宋体" w:cs="宋体"/>
                <w:color w:val="auto"/>
                <w:kern w:val="0"/>
                <w:sz w:val="24"/>
                <w:szCs w:val="20"/>
              </w:rPr>
              <w:t>陈武斌</w:t>
            </w:r>
          </w:p>
        </w:tc>
        <w:tc>
          <w:tcPr>
            <w:tcW w:w="3864" w:type="dxa"/>
            <w:tcBorders>
              <w:tl2br w:val="nil"/>
              <w:tr2bl w:val="nil"/>
            </w:tcBorders>
            <w:noWrap w:val="0"/>
            <w:vAlign w:val="center"/>
          </w:tcPr>
          <w:p w14:paraId="2B22B5EE">
            <w:pPr>
              <w:jc w:val="center"/>
            </w:pPr>
            <w:r>
              <w:rPr>
                <w:rFonts w:hint="eastAsia" w:ascii="宋体" w:hAnsi="宋体" w:eastAsia="宋体" w:cs="宋体"/>
                <w:color w:val="auto"/>
                <w:kern w:val="0"/>
                <w:sz w:val="24"/>
                <w:szCs w:val="20"/>
              </w:rPr>
              <w:t>1100000000300371</w:t>
            </w:r>
          </w:p>
        </w:tc>
        <w:tc>
          <w:tcPr>
            <w:tcW w:w="1897" w:type="dxa"/>
            <w:tcBorders>
              <w:tl2br w:val="nil"/>
              <w:tr2bl w:val="nil"/>
            </w:tcBorders>
            <w:noWrap w:val="0"/>
            <w:vAlign w:val="center"/>
          </w:tcPr>
          <w:p w14:paraId="35F42129">
            <w:pPr>
              <w:jc w:val="center"/>
            </w:pPr>
            <w:r>
              <w:rPr>
                <w:rFonts w:hint="eastAsia" w:ascii="宋体" w:hAnsi="宋体" w:cs="宋体"/>
                <w:color w:val="auto"/>
                <w:kern w:val="0"/>
                <w:sz w:val="24"/>
                <w:szCs w:val="20"/>
              </w:rPr>
              <w:t>019967</w:t>
            </w:r>
          </w:p>
        </w:tc>
      </w:tr>
      <w:tr w14:paraId="5858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vMerge w:val="continue"/>
            <w:tcBorders>
              <w:tl2br w:val="nil"/>
              <w:tr2bl w:val="nil"/>
            </w:tcBorders>
            <w:noWrap w:val="0"/>
            <w:vAlign w:val="center"/>
          </w:tcPr>
          <w:p w14:paraId="0EB7D93E">
            <w:pPr>
              <w:pStyle w:val="19"/>
              <w:bidi w:val="0"/>
            </w:pPr>
          </w:p>
        </w:tc>
        <w:tc>
          <w:tcPr>
            <w:tcW w:w="1820" w:type="dxa"/>
            <w:tcBorders>
              <w:tl2br w:val="nil"/>
              <w:tr2bl w:val="nil"/>
            </w:tcBorders>
            <w:noWrap w:val="0"/>
            <w:vAlign w:val="center"/>
          </w:tcPr>
          <w:p w14:paraId="243BE689">
            <w:pPr>
              <w:jc w:val="center"/>
              <w:rPr>
                <w:rFonts w:hint="default"/>
                <w:lang w:val="en-US" w:eastAsia="zh-CN"/>
              </w:rPr>
            </w:pPr>
            <w:r>
              <w:rPr>
                <w:rFonts w:hint="eastAsia" w:ascii="宋体" w:hAnsi="宋体" w:cs="宋体"/>
                <w:color w:val="auto"/>
                <w:sz w:val="24"/>
              </w:rPr>
              <w:t>陈明基</w:t>
            </w:r>
          </w:p>
        </w:tc>
        <w:tc>
          <w:tcPr>
            <w:tcW w:w="3864" w:type="dxa"/>
            <w:tcBorders>
              <w:tl2br w:val="nil"/>
              <w:tr2bl w:val="nil"/>
            </w:tcBorders>
            <w:noWrap w:val="0"/>
            <w:vAlign w:val="center"/>
          </w:tcPr>
          <w:p w14:paraId="3A40D499">
            <w:pPr>
              <w:jc w:val="center"/>
            </w:pPr>
            <w:r>
              <w:rPr>
                <w:rFonts w:hint="eastAsia" w:ascii="宋体"/>
                <w:color w:val="auto"/>
                <w:sz w:val="24"/>
              </w:rPr>
              <w:t>S011035000110203001148</w:t>
            </w:r>
          </w:p>
        </w:tc>
        <w:tc>
          <w:tcPr>
            <w:tcW w:w="1897" w:type="dxa"/>
            <w:tcBorders>
              <w:tl2br w:val="nil"/>
              <w:tr2bl w:val="nil"/>
            </w:tcBorders>
            <w:noWrap w:val="0"/>
            <w:vAlign w:val="center"/>
          </w:tcPr>
          <w:p w14:paraId="589F6943">
            <w:pPr>
              <w:jc w:val="center"/>
            </w:pPr>
            <w:r>
              <w:rPr>
                <w:rFonts w:hint="eastAsia" w:ascii="宋体"/>
                <w:color w:val="auto"/>
                <w:sz w:val="24"/>
              </w:rPr>
              <w:t>040277</w:t>
            </w:r>
          </w:p>
        </w:tc>
      </w:tr>
      <w:tr w14:paraId="0562B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1EC5C99">
            <w:pPr>
              <w:pStyle w:val="19"/>
              <w:bidi w:val="0"/>
            </w:pPr>
            <w:r>
              <w:t>技术专家</w:t>
            </w:r>
          </w:p>
        </w:tc>
        <w:tc>
          <w:tcPr>
            <w:tcW w:w="7581" w:type="dxa"/>
            <w:gridSpan w:val="3"/>
            <w:tcBorders>
              <w:tl2br w:val="nil"/>
              <w:tr2bl w:val="nil"/>
            </w:tcBorders>
            <w:noWrap w:val="0"/>
            <w:vAlign w:val="center"/>
          </w:tcPr>
          <w:p w14:paraId="421631ED">
            <w:pPr>
              <w:pStyle w:val="19"/>
              <w:bidi w:val="0"/>
            </w:pPr>
            <w:r>
              <w:t>/</w:t>
            </w:r>
          </w:p>
        </w:tc>
      </w:tr>
      <w:tr w14:paraId="522F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31DFAA52">
            <w:pPr>
              <w:pStyle w:val="19"/>
              <w:bidi w:val="0"/>
            </w:pPr>
            <w:r>
              <w:t>现场勘察人员及时间</w:t>
            </w:r>
          </w:p>
        </w:tc>
        <w:tc>
          <w:tcPr>
            <w:tcW w:w="7581" w:type="dxa"/>
            <w:gridSpan w:val="3"/>
            <w:tcBorders>
              <w:tl2br w:val="nil"/>
              <w:tr2bl w:val="nil"/>
            </w:tcBorders>
            <w:noWrap w:val="0"/>
            <w:vAlign w:val="center"/>
          </w:tcPr>
          <w:p w14:paraId="5EF7E4D9">
            <w:pPr>
              <w:pStyle w:val="19"/>
              <w:bidi w:val="0"/>
              <w:rPr>
                <w:rFonts w:hint="default"/>
                <w:lang w:val="en-US" w:eastAsia="zh-CN"/>
              </w:rPr>
            </w:pPr>
            <w:r>
              <w:rPr>
                <w:rFonts w:hint="eastAsia"/>
                <w:lang w:val="en-US" w:eastAsia="zh-CN"/>
              </w:rPr>
              <w:t>曹国强、陈明基 2023.6.10</w:t>
            </w:r>
          </w:p>
        </w:tc>
      </w:tr>
      <w:tr w14:paraId="37A0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24124418">
            <w:pPr>
              <w:pStyle w:val="19"/>
              <w:bidi w:val="0"/>
              <w:rPr>
                <w:rFonts w:hint="default"/>
                <w:lang w:val="en-US" w:eastAsia="zh-CN"/>
              </w:rPr>
            </w:pPr>
            <w:r>
              <w:rPr>
                <w:rFonts w:hint="eastAsia"/>
                <w:lang w:val="en-US" w:eastAsia="zh-CN"/>
              </w:rPr>
              <w:t>现场核查的人员和时间</w:t>
            </w:r>
          </w:p>
        </w:tc>
        <w:tc>
          <w:tcPr>
            <w:tcW w:w="7581" w:type="dxa"/>
            <w:gridSpan w:val="3"/>
            <w:tcBorders>
              <w:tl2br w:val="nil"/>
              <w:tr2bl w:val="nil"/>
            </w:tcBorders>
            <w:noWrap w:val="0"/>
            <w:vAlign w:val="center"/>
          </w:tcPr>
          <w:p w14:paraId="1D857B87">
            <w:pPr>
              <w:pStyle w:val="19"/>
              <w:bidi w:val="0"/>
              <w:rPr>
                <w:rFonts w:hint="default"/>
                <w:lang w:val="en-US" w:eastAsia="zh-CN"/>
              </w:rPr>
            </w:pPr>
          </w:p>
        </w:tc>
      </w:tr>
      <w:tr w14:paraId="4BB2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9" w:hRule="atLeast"/>
          <w:jc w:val="center"/>
        </w:trPr>
        <w:tc>
          <w:tcPr>
            <w:tcW w:w="1773" w:type="dxa"/>
            <w:tcBorders>
              <w:tl2br w:val="nil"/>
              <w:tr2bl w:val="nil"/>
            </w:tcBorders>
            <w:noWrap w:val="0"/>
            <w:vAlign w:val="center"/>
          </w:tcPr>
          <w:p w14:paraId="57C46813">
            <w:pPr>
              <w:pStyle w:val="19"/>
              <w:bidi w:val="0"/>
            </w:pPr>
            <w:r>
              <w:t>项目简介</w:t>
            </w:r>
          </w:p>
        </w:tc>
        <w:tc>
          <w:tcPr>
            <w:tcW w:w="7581" w:type="dxa"/>
            <w:gridSpan w:val="3"/>
            <w:tcBorders>
              <w:tl2br w:val="nil"/>
              <w:tr2bl w:val="nil"/>
            </w:tcBorders>
            <w:noWrap w:val="0"/>
            <w:vAlign w:val="top"/>
          </w:tcPr>
          <w:p w14:paraId="52A0BCE1">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中铜东南铜业有限公司安全现状评价分为“冶炼系统分册”和“烟气制酸系统、发烟酸系统、硫酸镍系统分册”、“酸库及装酸设施分册”、“码头输酸管道分册”，本册为“酸库及装酸设施分册”。</w:t>
            </w:r>
          </w:p>
          <w:p w14:paraId="2F54692A">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ascii="宋体" w:hAnsi="宋体" w:eastAsia="宋体" w:cs="Times New Roman"/>
                <w:lang w:eastAsia="zh-CN"/>
              </w:rPr>
            </w:pPr>
            <w:r>
              <w:rPr>
                <w:rFonts w:hint="eastAsia" w:ascii="宋体" w:hAnsi="宋体" w:eastAsia="宋体" w:cs="Times New Roman"/>
                <w:lang w:eastAsia="zh-CN"/>
              </w:rPr>
              <w:t>中铜东南铜业有限公司硫酸储罐区位于厂区的的北部，共有8个5435m³的硫酸储罐，2个5435m³的发烟硫酸储罐以及配套装卸设施。</w:t>
            </w:r>
          </w:p>
          <w:p w14:paraId="29B2095D">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rPr>
                <w:rFonts w:hint="eastAsia"/>
                <w:lang w:eastAsia="zh-CN"/>
              </w:rPr>
            </w:pPr>
            <w:r>
              <w:rPr>
                <w:rFonts w:hint="eastAsia" w:ascii="宋体" w:hAnsi="宋体" w:eastAsia="宋体" w:cs="Times New Roman"/>
                <w:lang w:eastAsia="zh-CN"/>
              </w:rPr>
              <w:t>硫酸储罐区为一近似梯形，南北宽约190m，东西长约1200m，占地面积约15000m2，其中主要储存装置为10个硫酸储罐和5个高位槽</w:t>
            </w:r>
            <w:r>
              <w:rPr>
                <w:rFonts w:hint="eastAsia"/>
                <w:lang w:val="en-US" w:eastAsia="zh-CN"/>
              </w:rPr>
              <w:t>。</w:t>
            </w:r>
          </w:p>
          <w:p w14:paraId="6F1E2AED">
            <w:pPr>
              <w:pStyle w:val="19"/>
              <w:keepNext w:val="0"/>
              <w:keepLines w:val="0"/>
              <w:pageBreakBefore w:val="0"/>
              <w:widowControl w:val="0"/>
              <w:kinsoku/>
              <w:wordWrap/>
              <w:overflowPunct/>
              <w:topLinePunct w:val="0"/>
              <w:autoSpaceDE/>
              <w:autoSpaceDN/>
              <w:bidi w:val="0"/>
              <w:adjustRightInd w:val="0"/>
              <w:snapToGrid w:val="0"/>
              <w:ind w:firstLine="480" w:firstLineChars="200"/>
              <w:textAlignment w:val="baseline"/>
            </w:pPr>
            <w:r>
              <w:rPr>
                <w:rFonts w:hint="eastAsia"/>
                <w:lang w:eastAsia="zh-CN"/>
              </w:rPr>
              <w:t>评价结论：</w:t>
            </w:r>
            <w:r>
              <w:rPr>
                <w:rFonts w:hint="eastAsia" w:ascii="宋体" w:hAnsi="宋体" w:eastAsia="宋体" w:cs="Times New Roman"/>
                <w:lang w:eastAsia="zh-CN"/>
              </w:rPr>
              <w:t>该公司酸库选择了成熟、可靠的生产工艺及设备，具有较高的安全生产可靠性。该公司酸库已严格按照有关法律法规及部门规章的要求，切实承担安全生产责任，履行各项安全生产义务，严格执行各项安全管理制度和安全操作规程，加强对从业人员的安全教育与培训。该公司酸库应做好事故隐患整改工作，且该公司酸库已按照本报告第8章安全对策措施与建议的有关内容进行整改，故该公司酸库的安全生产的风险是可接受的，具备安全生产条件。</w:t>
            </w:r>
          </w:p>
        </w:tc>
      </w:tr>
      <w:tr w14:paraId="0929F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3B6C635">
            <w:pPr>
              <w:pStyle w:val="19"/>
              <w:bidi w:val="0"/>
            </w:pPr>
            <w:r>
              <w:t>现场照片</w:t>
            </w:r>
          </w:p>
        </w:tc>
        <w:tc>
          <w:tcPr>
            <w:tcW w:w="7581" w:type="dxa"/>
            <w:gridSpan w:val="3"/>
            <w:tcBorders>
              <w:tl2br w:val="nil"/>
              <w:tr2bl w:val="nil"/>
            </w:tcBorders>
            <w:noWrap w:val="0"/>
            <w:vAlign w:val="top"/>
          </w:tcPr>
          <w:p w14:paraId="484BC9A3">
            <w:pPr>
              <w:pStyle w:val="19"/>
              <w:bidi w:val="0"/>
              <w:rPr>
                <w:rFonts w:hint="default"/>
                <w:lang w:val="en-US" w:eastAsia="zh-CN"/>
              </w:rPr>
            </w:pPr>
            <w:r>
              <w:rPr>
                <w:rFonts w:hint="default"/>
                <w:lang w:val="en-US" w:eastAsia="zh-CN"/>
              </w:rPr>
              <w:drawing>
                <wp:inline distT="0" distB="0" distL="114300" distR="114300">
                  <wp:extent cx="4762500" cy="3571875"/>
                  <wp:effectExtent l="0" t="0" r="0" b="9525"/>
                  <wp:docPr id="5" name="图片 24" descr="出访照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descr="出访照片 (9)"/>
                          <pic:cNvPicPr>
                            <a:picLocks noChangeAspect="1"/>
                          </pic:cNvPicPr>
                        </pic:nvPicPr>
                        <pic:blipFill>
                          <a:blip r:embed="rId5"/>
                          <a:stretch>
                            <a:fillRect/>
                          </a:stretch>
                        </pic:blipFill>
                        <pic:spPr>
                          <a:xfrm>
                            <a:off x="0" y="0"/>
                            <a:ext cx="4762500" cy="3571875"/>
                          </a:xfrm>
                          <a:prstGeom prst="rect">
                            <a:avLst/>
                          </a:prstGeom>
                          <a:noFill/>
                          <a:ln>
                            <a:noFill/>
                          </a:ln>
                        </pic:spPr>
                      </pic:pic>
                    </a:graphicData>
                  </a:graphic>
                </wp:inline>
              </w:drawing>
            </w:r>
          </w:p>
          <w:p w14:paraId="686F04E0">
            <w:pPr>
              <w:pStyle w:val="19"/>
              <w:bidi w:val="0"/>
              <w:rPr>
                <w:rFonts w:hint="default"/>
                <w:lang w:val="en-US" w:eastAsia="zh-CN"/>
              </w:rPr>
            </w:pPr>
            <w:r>
              <w:rPr>
                <w:rFonts w:hint="default"/>
                <w:lang w:val="en-US" w:eastAsia="zh-CN"/>
              </w:rPr>
              <w:drawing>
                <wp:inline distT="0" distB="0" distL="114300" distR="114300">
                  <wp:extent cx="4762500" cy="3571875"/>
                  <wp:effectExtent l="0" t="0" r="0" b="9525"/>
                  <wp:docPr id="6" name="图片 25" descr="现场核查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descr="现场核查 (1)"/>
                          <pic:cNvPicPr>
                            <a:picLocks noChangeAspect="1"/>
                          </pic:cNvPicPr>
                        </pic:nvPicPr>
                        <pic:blipFill>
                          <a:blip r:embed="rId6"/>
                          <a:stretch>
                            <a:fillRect/>
                          </a:stretch>
                        </pic:blipFill>
                        <pic:spPr>
                          <a:xfrm>
                            <a:off x="0" y="0"/>
                            <a:ext cx="4762500" cy="3571875"/>
                          </a:xfrm>
                          <a:prstGeom prst="rect">
                            <a:avLst/>
                          </a:prstGeom>
                          <a:noFill/>
                          <a:ln>
                            <a:noFill/>
                          </a:ln>
                        </pic:spPr>
                      </pic:pic>
                    </a:graphicData>
                  </a:graphic>
                </wp:inline>
              </w:drawing>
            </w:r>
          </w:p>
        </w:tc>
      </w:tr>
      <w:tr w14:paraId="4F808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1773" w:type="dxa"/>
            <w:tcBorders>
              <w:tl2br w:val="nil"/>
              <w:tr2bl w:val="nil"/>
            </w:tcBorders>
            <w:noWrap w:val="0"/>
            <w:vAlign w:val="center"/>
          </w:tcPr>
          <w:p w14:paraId="5C5316D8">
            <w:pPr>
              <w:pStyle w:val="19"/>
              <w:bidi w:val="0"/>
            </w:pPr>
            <w:r>
              <w:t>被评价单位信息反馈情况</w:t>
            </w:r>
          </w:p>
        </w:tc>
        <w:tc>
          <w:tcPr>
            <w:tcW w:w="7581" w:type="dxa"/>
            <w:gridSpan w:val="3"/>
            <w:tcBorders>
              <w:tl2br w:val="nil"/>
              <w:tr2bl w:val="nil"/>
            </w:tcBorders>
            <w:noWrap w:val="0"/>
            <w:vAlign w:val="center"/>
          </w:tcPr>
          <w:p w14:paraId="5EDC6CA4">
            <w:pPr>
              <w:pStyle w:val="19"/>
              <w:bidi w:val="0"/>
            </w:pPr>
            <w:r>
              <w:t>满意</w:t>
            </w:r>
          </w:p>
        </w:tc>
      </w:tr>
    </w:tbl>
    <w:p w14:paraId="70FE123C">
      <w:pPr>
        <w:jc w:val="both"/>
      </w:pPr>
    </w:p>
    <w:sectPr>
      <w:footerReference r:id="rId3" w:type="default"/>
      <w:pgSz w:w="11906" w:h="16838"/>
      <w:pgMar w:top="1417"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DE"/>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88078">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BC51A8">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ilxqcoBAACc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q5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ilxqcoBAACcAwAADgAAAAAAAAABACAAAAAeAQAAZHJzL2Uyb0Rv&#10;Yy54bWxQSwUGAAAAAAYABgBZAQAAWgUAAAAA&#10;">
              <v:fill on="f" focussize="0,0"/>
              <v:stroke on="f"/>
              <v:imagedata o:title=""/>
              <o:lock v:ext="edit" aspectratio="f"/>
              <v:textbox inset="0mm,0mm,0mm,0mm" style="mso-fit-shape-to-text:t;">
                <w:txbxContent>
                  <w:p w14:paraId="11BC51A8">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ZDM1ZmJiMDFhOGI2ZDhiOGRlMWVjNDU0MDc0YTgifQ=="/>
  </w:docVars>
  <w:rsids>
    <w:rsidRoot w:val="00E3751A"/>
    <w:rsid w:val="00047227"/>
    <w:rsid w:val="00303C12"/>
    <w:rsid w:val="004D1AF7"/>
    <w:rsid w:val="00756850"/>
    <w:rsid w:val="00C75118"/>
    <w:rsid w:val="00C82162"/>
    <w:rsid w:val="00E3751A"/>
    <w:rsid w:val="01381A2C"/>
    <w:rsid w:val="036F2761"/>
    <w:rsid w:val="054D43D2"/>
    <w:rsid w:val="067C6F0E"/>
    <w:rsid w:val="06EF6353"/>
    <w:rsid w:val="07D32EB9"/>
    <w:rsid w:val="0A3600A6"/>
    <w:rsid w:val="0D6D17D8"/>
    <w:rsid w:val="0E53337E"/>
    <w:rsid w:val="10CF6B07"/>
    <w:rsid w:val="169610C2"/>
    <w:rsid w:val="17810296"/>
    <w:rsid w:val="17C601C4"/>
    <w:rsid w:val="188D103C"/>
    <w:rsid w:val="18CA2EBE"/>
    <w:rsid w:val="1B9F4DB7"/>
    <w:rsid w:val="1CD17A8D"/>
    <w:rsid w:val="23356346"/>
    <w:rsid w:val="276E1EEA"/>
    <w:rsid w:val="29925FE1"/>
    <w:rsid w:val="29F53ECF"/>
    <w:rsid w:val="2D9B06ED"/>
    <w:rsid w:val="2E046C06"/>
    <w:rsid w:val="32CC6EE2"/>
    <w:rsid w:val="3C7D28D5"/>
    <w:rsid w:val="41912F5E"/>
    <w:rsid w:val="42C53343"/>
    <w:rsid w:val="43C0308C"/>
    <w:rsid w:val="48E14104"/>
    <w:rsid w:val="48EC5AF0"/>
    <w:rsid w:val="4E3D5914"/>
    <w:rsid w:val="52E07D49"/>
    <w:rsid w:val="542E2CCC"/>
    <w:rsid w:val="54345BD2"/>
    <w:rsid w:val="57800B40"/>
    <w:rsid w:val="5831795F"/>
    <w:rsid w:val="5A435025"/>
    <w:rsid w:val="5BF832F3"/>
    <w:rsid w:val="60B460AF"/>
    <w:rsid w:val="655D6D55"/>
    <w:rsid w:val="658063A7"/>
    <w:rsid w:val="66C53C4A"/>
    <w:rsid w:val="67600A2D"/>
    <w:rsid w:val="69D40406"/>
    <w:rsid w:val="6AA57F27"/>
    <w:rsid w:val="6BD4664B"/>
    <w:rsid w:val="6CB1098B"/>
    <w:rsid w:val="6D1139EB"/>
    <w:rsid w:val="6F3D1DEF"/>
    <w:rsid w:val="6F67290E"/>
    <w:rsid w:val="737D1DEA"/>
    <w:rsid w:val="73AA2228"/>
    <w:rsid w:val="75816D2C"/>
    <w:rsid w:val="76E25EB6"/>
    <w:rsid w:val="77832F9B"/>
    <w:rsid w:val="79302291"/>
    <w:rsid w:val="7AD10B53"/>
    <w:rsid w:val="7B914393"/>
    <w:rsid w:val="7C304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pageBreakBefore w:val="0"/>
      <w:widowControl w:val="0"/>
      <w:jc w:val="center"/>
    </w:pPr>
    <w:rPr>
      <w:rFonts w:ascii="Calibri" w:hAnsi="Calibri" w:eastAsia="宋体" w:cs="Times New Roman"/>
      <w:kern w:val="2"/>
      <w:sz w:val="28"/>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5">
    <w:name w:val="heading 2"/>
    <w:basedOn w:val="1"/>
    <w:next w:val="1"/>
    <w:qFormat/>
    <w:uiPriority w:val="0"/>
    <w:pPr>
      <w:keepNext/>
      <w:keepLines/>
      <w:snapToGrid w:val="0"/>
      <w:spacing w:beforeLines="50" w:afterLines="50"/>
      <w:outlineLvl w:val="1"/>
    </w:pPr>
    <w:rPr>
      <w:rFonts w:eastAsia="楷体_GB2312" w:cs="MS Gothic"/>
      <w:b/>
      <w:snapToGrid w:val="0"/>
      <w:kern w:val="0"/>
      <w:sz w:val="32"/>
      <w:szCs w:val="28"/>
    </w:rPr>
  </w:style>
  <w:style w:type="character" w:default="1" w:styleId="17">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customStyle="1" w:styleId="2">
    <w:name w:val="Default"/>
    <w:basedOn w:val="3"/>
    <w:next w:val="1"/>
    <w:qFormat/>
    <w:uiPriority w:val="0"/>
    <w:pPr>
      <w:widowControl w:val="0"/>
      <w:autoSpaceDE w:val="0"/>
      <w:autoSpaceDN w:val="0"/>
    </w:pPr>
    <w:rPr>
      <w:rFonts w:hint="eastAsia" w:ascii="宋体" w:hAnsi="Times New Roman" w:eastAsia="宋体" w:cs="Times New Roman"/>
      <w:color w:val="000000"/>
      <w:sz w:val="24"/>
      <w:lang w:val="en-US" w:eastAsia="zh-CN" w:bidi="ar-SA"/>
    </w:rPr>
  </w:style>
  <w:style w:type="paragraph" w:customStyle="1" w:styleId="3">
    <w:name w:val="_Style 3"/>
    <w:basedOn w:val="1"/>
    <w:qFormat/>
    <w:uiPriority w:val="0"/>
    <w:pPr>
      <w:ind w:left="720"/>
      <w:contextualSpacing/>
    </w:pPr>
  </w:style>
  <w:style w:type="paragraph" w:styleId="6">
    <w:name w:val="Normal Indent"/>
    <w:basedOn w:val="1"/>
    <w:qFormat/>
    <w:uiPriority w:val="0"/>
    <w:pPr>
      <w:adjustRightInd w:val="0"/>
      <w:spacing w:line="360" w:lineRule="atLeast"/>
      <w:ind w:firstLine="420"/>
      <w:jc w:val="left"/>
      <w:textAlignment w:val="baseline"/>
    </w:pPr>
    <w:rPr>
      <w:rFonts w:eastAsia="仿宋_GB2312"/>
      <w:kern w:val="0"/>
      <w:sz w:val="28"/>
      <w:szCs w:val="20"/>
    </w:rPr>
  </w:style>
  <w:style w:type="paragraph" w:styleId="7">
    <w:name w:val="Body Text"/>
    <w:basedOn w:val="1"/>
    <w:qFormat/>
    <w:uiPriority w:val="99"/>
    <w:rPr>
      <w:sz w:val="28"/>
      <w:szCs w:val="28"/>
    </w:rPr>
  </w:style>
  <w:style w:type="paragraph" w:styleId="8">
    <w:name w:val="Body Text Indent"/>
    <w:basedOn w:val="1"/>
    <w:unhideWhenUsed/>
    <w:qFormat/>
    <w:uiPriority w:val="99"/>
    <w:pPr>
      <w:spacing w:after="120"/>
      <w:ind w:left="420" w:leftChars="200"/>
    </w:pPr>
  </w:style>
  <w:style w:type="paragraph" w:styleId="9">
    <w:name w:val="Balloon Text"/>
    <w:basedOn w:val="1"/>
    <w:link w:val="18"/>
    <w:qFormat/>
    <w:uiPriority w:val="0"/>
    <w:rPr>
      <w:sz w:val="18"/>
      <w:szCs w:val="18"/>
    </w:rPr>
  </w:style>
  <w:style w:type="paragraph" w:styleId="10">
    <w:name w:val="footer"/>
    <w:basedOn w:val="1"/>
    <w:next w:val="11"/>
    <w:qFormat/>
    <w:uiPriority w:val="99"/>
    <w:pPr>
      <w:tabs>
        <w:tab w:val="center" w:pos="4153"/>
        <w:tab w:val="right" w:pos="8306"/>
      </w:tabs>
      <w:snapToGrid w:val="0"/>
    </w:pPr>
    <w:rPr>
      <w:sz w:val="18"/>
      <w:szCs w:val="18"/>
    </w:rPr>
  </w:style>
  <w:style w:type="paragraph" w:styleId="11">
    <w:name w:val="Normal (Web)"/>
    <w:basedOn w:val="1"/>
    <w:next w:val="12"/>
    <w:qFormat/>
    <w:uiPriority w:val="0"/>
    <w:pPr>
      <w:spacing w:before="100" w:beforeAutospacing="1" w:after="100" w:afterAutospacing="1"/>
      <w:jc w:val="left"/>
    </w:pPr>
    <w:rPr>
      <w:kern w:val="0"/>
      <w:sz w:val="24"/>
    </w:rPr>
  </w:style>
  <w:style w:type="paragraph" w:customStyle="1" w:styleId="12">
    <w:name w:val="toc 84"/>
    <w:next w:val="1"/>
    <w:qFormat/>
    <w:uiPriority w:val="0"/>
    <w:pPr>
      <w:wordWrap w:val="0"/>
      <w:ind w:left="2975"/>
      <w:jc w:val="both"/>
    </w:pPr>
    <w:rPr>
      <w:rFonts w:ascii="Times New Roman" w:hAnsi="Times New Roman" w:eastAsia="宋体" w:cs="Times New Roman"/>
      <w:sz w:val="21"/>
      <w:szCs w:val="22"/>
      <w:lang w:val="en-US" w:eastAsia="zh-CN" w:bidi="ar-SA"/>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First Indent"/>
    <w:basedOn w:val="1"/>
    <w:qFormat/>
    <w:uiPriority w:val="0"/>
    <w:pPr>
      <w:spacing w:after="120"/>
      <w:ind w:firstLine="420" w:firstLineChars="100"/>
    </w:pPr>
  </w:style>
  <w:style w:type="paragraph" w:styleId="15">
    <w:name w:val="Body Text First Indent 2"/>
    <w:basedOn w:val="1"/>
    <w:next w:val="1"/>
    <w:unhideWhenUsed/>
    <w:qFormat/>
    <w:uiPriority w:val="99"/>
    <w:pPr>
      <w:ind w:firstLine="420" w:firstLineChars="200"/>
    </w:pPr>
  </w:style>
  <w:style w:type="character" w:customStyle="1" w:styleId="18">
    <w:name w:val="批注框文本 Char"/>
    <w:basedOn w:val="17"/>
    <w:link w:val="9"/>
    <w:qFormat/>
    <w:uiPriority w:val="0"/>
    <w:rPr>
      <w:rFonts w:ascii="Calibri" w:hAnsi="Calibri"/>
      <w:kern w:val="2"/>
      <w:sz w:val="18"/>
      <w:szCs w:val="18"/>
    </w:rPr>
  </w:style>
  <w:style w:type="paragraph" w:customStyle="1" w:styleId="19">
    <w:name w:val="表格"/>
    <w:basedOn w:val="1"/>
    <w:next w:val="1"/>
    <w:qFormat/>
    <w:uiPriority w:val="0"/>
    <w:pPr>
      <w:adjustRightInd w:val="0"/>
      <w:snapToGrid w:val="0"/>
      <w:spacing w:line="240" w:lineRule="auto"/>
      <w:ind w:firstLine="0" w:firstLineChars="0"/>
      <w:jc w:val="both"/>
      <w:textAlignment w:val="baseline"/>
    </w:pPr>
    <w:rPr>
      <w:rFonts w:ascii="宋体" w:hAnsi="宋体"/>
      <w:kern w:val="0"/>
      <w:sz w:val="24"/>
      <w:szCs w:val="20"/>
    </w:rPr>
  </w:style>
  <w:style w:type="paragraph" w:customStyle="1" w:styleId="20">
    <w:name w:val="样式 标题 2"/>
    <w:basedOn w:val="5"/>
    <w:qFormat/>
    <w:uiPriority w:val="0"/>
    <w:pPr>
      <w:spacing w:beforeLines="0" w:afterLines="0"/>
    </w:pPr>
    <w:rPr>
      <w:rFonts w:ascii="Arial" w:hAnsi="Arial" w:eastAsia="宋体" w:cs="宋体"/>
      <w:snapToGrid/>
      <w:kern w:val="2"/>
      <w:szCs w:val="32"/>
      <w:lang w:val="zh-CN"/>
    </w:rPr>
  </w:style>
  <w:style w:type="paragraph" w:customStyle="1" w:styleId="21">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p0"/>
    <w:basedOn w:val="1"/>
    <w:qFormat/>
    <w:uiPriority w:val="0"/>
    <w:pPr>
      <w:widowControl/>
    </w:pPr>
    <w:rPr>
      <w:kern w:val="0"/>
      <w:szCs w:val="21"/>
    </w:rPr>
  </w:style>
  <w:style w:type="paragraph" w:customStyle="1" w:styleId="23">
    <w:name w:val="111"/>
    <w:basedOn w:val="1"/>
    <w:qFormat/>
    <w:uiPriority w:val="99"/>
    <w:pPr>
      <w:widowControl/>
      <w:tabs>
        <w:tab w:val="left" w:pos="0"/>
      </w:tabs>
      <w:spacing w:before="100" w:beforeLines="0" w:beforeAutospacing="1" w:after="100" w:afterLines="0" w:afterAutospacing="1"/>
      <w:jc w:val="left"/>
    </w:pPr>
    <w:rPr>
      <w:rFonts w:ascii="宋体" w:hAnsi="宋体" w:cs="宋体"/>
      <w:kern w:val="0"/>
      <w:sz w:val="24"/>
      <w:szCs w:val="24"/>
    </w:rPr>
  </w:style>
  <w:style w:type="paragraph" w:customStyle="1" w:styleId="24">
    <w:name w:val="表格内容"/>
    <w:basedOn w:val="1"/>
    <w:qFormat/>
    <w:uiPriority w:val="0"/>
    <w:pPr>
      <w:adjustRightInd w:val="0"/>
      <w:snapToGrid w:val="0"/>
      <w:spacing w:line="360" w:lineRule="auto"/>
      <w:jc w:val="center"/>
    </w:pPr>
    <w:rPr>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1222</Words>
  <Characters>1528</Characters>
  <Lines>7</Lines>
  <Paragraphs>2</Paragraphs>
  <TotalTime>3</TotalTime>
  <ScaleCrop>false</ScaleCrop>
  <LinksUpToDate>false</LinksUpToDate>
  <CharactersWithSpaces>1530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2020-04-30T03:42:00Z</dcterms:created>
  <dc:creator>Administrator</dc:creator>
  <cp:lastModifiedBy>叶子</cp:lastModifiedBy>
  <dcterms:modified xsi:type="dcterms:W3CDTF">2024-09-11T06:00:03Z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122FFA3D15E148DEB4598971398AE947_13</vt:lpwstr>
  </property>
</Properties>
</file>