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1CC9F">
      <w:pPr>
        <w:pageBreakBefore/>
      </w:pPr>
      <w:r>
        <w:rPr>
          <w:rFonts w:hint="eastAsia"/>
        </w:rPr>
        <w:t>安全评价报告</w:t>
      </w:r>
      <w:r>
        <w:t>公开信息表</w:t>
      </w:r>
    </w:p>
    <w:tbl>
      <w:tblPr>
        <w:tblStyle w:val="1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7647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09D3CBA1">
            <w:pPr>
              <w:pStyle w:val="16"/>
            </w:pPr>
            <w:r>
              <w:t>项目名称</w:t>
            </w:r>
          </w:p>
        </w:tc>
        <w:tc>
          <w:tcPr>
            <w:tcW w:w="7581" w:type="dxa"/>
            <w:gridSpan w:val="3"/>
            <w:tcBorders>
              <w:tl2br w:val="nil"/>
              <w:tr2bl w:val="nil"/>
            </w:tcBorders>
            <w:shd w:val="clear" w:color="auto" w:fill="auto"/>
            <w:vAlign w:val="center"/>
          </w:tcPr>
          <w:p w14:paraId="1D378721">
            <w:pPr>
              <w:pStyle w:val="16"/>
            </w:pPr>
            <w:r>
              <w:rPr>
                <w:rFonts w:hint="eastAsia"/>
              </w:rPr>
              <w:t>液化空气工业气体（鄂尔多斯）有限公司氧气、二氧化碳、氮气、氩气、氢气经营项目安全现状评价</w:t>
            </w:r>
          </w:p>
        </w:tc>
      </w:tr>
      <w:tr w14:paraId="41F2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37CAF115">
            <w:pPr>
              <w:pStyle w:val="16"/>
            </w:pPr>
            <w:r>
              <w:t>完成时间</w:t>
            </w:r>
          </w:p>
        </w:tc>
        <w:tc>
          <w:tcPr>
            <w:tcW w:w="7581" w:type="dxa"/>
            <w:gridSpan w:val="3"/>
            <w:tcBorders>
              <w:tl2br w:val="nil"/>
              <w:tr2bl w:val="nil"/>
            </w:tcBorders>
            <w:shd w:val="clear" w:color="auto" w:fill="auto"/>
            <w:vAlign w:val="center"/>
          </w:tcPr>
          <w:p w14:paraId="7F8F9275">
            <w:pPr>
              <w:pStyle w:val="16"/>
            </w:pPr>
            <w:r>
              <w:rPr>
                <w:rFonts w:hint="eastAsia"/>
              </w:rPr>
              <w:t>2024.5.10</w:t>
            </w:r>
          </w:p>
        </w:tc>
      </w:tr>
      <w:tr w14:paraId="687F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54" w:type="dxa"/>
            <w:gridSpan w:val="4"/>
            <w:tcBorders>
              <w:tl2br w:val="nil"/>
              <w:tr2bl w:val="nil"/>
            </w:tcBorders>
            <w:shd w:val="clear" w:color="auto" w:fill="auto"/>
            <w:vAlign w:val="center"/>
          </w:tcPr>
          <w:p w14:paraId="13C78680">
            <w:pPr>
              <w:pStyle w:val="16"/>
            </w:pPr>
            <w:r>
              <w:rPr>
                <w:rFonts w:hint="eastAsia"/>
              </w:rPr>
              <w:t>评价人员</w:t>
            </w:r>
          </w:p>
        </w:tc>
      </w:tr>
      <w:tr w14:paraId="36C3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7FDA65F7">
            <w:pPr>
              <w:pStyle w:val="16"/>
            </w:pPr>
          </w:p>
        </w:tc>
        <w:tc>
          <w:tcPr>
            <w:tcW w:w="1820" w:type="dxa"/>
            <w:tcBorders>
              <w:tl2br w:val="nil"/>
              <w:tr2bl w:val="nil"/>
            </w:tcBorders>
            <w:shd w:val="clear" w:color="auto" w:fill="auto"/>
            <w:vAlign w:val="center"/>
          </w:tcPr>
          <w:p w14:paraId="7886A904">
            <w:pPr>
              <w:pStyle w:val="16"/>
            </w:pPr>
            <w:r>
              <w:t>姓名</w:t>
            </w:r>
          </w:p>
        </w:tc>
        <w:tc>
          <w:tcPr>
            <w:tcW w:w="3864" w:type="dxa"/>
            <w:tcBorders>
              <w:tl2br w:val="nil"/>
              <w:tr2bl w:val="nil"/>
            </w:tcBorders>
            <w:shd w:val="clear" w:color="auto" w:fill="auto"/>
            <w:vAlign w:val="center"/>
          </w:tcPr>
          <w:p w14:paraId="610EFB0F">
            <w:pPr>
              <w:pStyle w:val="16"/>
            </w:pPr>
            <w:r>
              <w:t>资格证书号</w:t>
            </w:r>
          </w:p>
        </w:tc>
        <w:tc>
          <w:tcPr>
            <w:tcW w:w="1897" w:type="dxa"/>
            <w:tcBorders>
              <w:tl2br w:val="nil"/>
              <w:tr2bl w:val="nil"/>
            </w:tcBorders>
            <w:shd w:val="clear" w:color="auto" w:fill="auto"/>
            <w:vAlign w:val="center"/>
          </w:tcPr>
          <w:p w14:paraId="16C24AFD">
            <w:pPr>
              <w:pStyle w:val="16"/>
            </w:pPr>
            <w:r>
              <w:t>从业号</w:t>
            </w:r>
          </w:p>
        </w:tc>
      </w:tr>
      <w:tr w14:paraId="14E5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06DAD50B">
            <w:pPr>
              <w:pStyle w:val="16"/>
            </w:pPr>
            <w:r>
              <w:t>项目负责人</w:t>
            </w:r>
          </w:p>
        </w:tc>
        <w:tc>
          <w:tcPr>
            <w:tcW w:w="1820" w:type="dxa"/>
            <w:tcBorders>
              <w:tl2br w:val="nil"/>
              <w:tr2bl w:val="nil"/>
            </w:tcBorders>
            <w:shd w:val="clear" w:color="auto" w:fill="auto"/>
            <w:vAlign w:val="center"/>
          </w:tcPr>
          <w:p w14:paraId="142BBC59">
            <w:pPr>
              <w:pStyle w:val="16"/>
            </w:pPr>
            <w:r>
              <w:rPr>
                <w:rFonts w:hint="eastAsia"/>
              </w:rPr>
              <w:t>塔娜</w:t>
            </w:r>
          </w:p>
        </w:tc>
        <w:tc>
          <w:tcPr>
            <w:tcW w:w="3864" w:type="dxa"/>
            <w:tcBorders>
              <w:tl2br w:val="nil"/>
              <w:tr2bl w:val="nil"/>
            </w:tcBorders>
            <w:shd w:val="clear" w:color="auto" w:fill="auto"/>
            <w:vAlign w:val="center"/>
          </w:tcPr>
          <w:p w14:paraId="6CE56265">
            <w:pPr>
              <w:pStyle w:val="16"/>
            </w:pPr>
            <w:r>
              <w:t>1700000000200088</w:t>
            </w:r>
          </w:p>
        </w:tc>
        <w:tc>
          <w:tcPr>
            <w:tcW w:w="1897" w:type="dxa"/>
            <w:tcBorders>
              <w:tl2br w:val="nil"/>
              <w:tr2bl w:val="nil"/>
            </w:tcBorders>
            <w:shd w:val="clear" w:color="auto" w:fill="auto"/>
            <w:vAlign w:val="center"/>
          </w:tcPr>
          <w:p w14:paraId="36FCA225">
            <w:pPr>
              <w:pStyle w:val="16"/>
            </w:pPr>
            <w:r>
              <w:t>031074</w:t>
            </w:r>
          </w:p>
        </w:tc>
      </w:tr>
      <w:tr w14:paraId="6FD1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restart"/>
            <w:tcBorders>
              <w:tl2br w:val="nil"/>
              <w:tr2bl w:val="nil"/>
            </w:tcBorders>
            <w:shd w:val="clear" w:color="auto" w:fill="auto"/>
            <w:vAlign w:val="center"/>
          </w:tcPr>
          <w:p w14:paraId="39690273">
            <w:pPr>
              <w:pStyle w:val="16"/>
            </w:pPr>
            <w:r>
              <w:t>项目组成员</w:t>
            </w:r>
          </w:p>
        </w:tc>
        <w:tc>
          <w:tcPr>
            <w:tcW w:w="1820" w:type="dxa"/>
            <w:tcBorders>
              <w:tl2br w:val="nil"/>
              <w:tr2bl w:val="nil"/>
            </w:tcBorders>
            <w:shd w:val="clear" w:color="auto" w:fill="auto"/>
            <w:vAlign w:val="center"/>
          </w:tcPr>
          <w:p w14:paraId="0C8FCF78">
            <w:pPr>
              <w:pStyle w:val="16"/>
            </w:pPr>
            <w:r>
              <w:rPr>
                <w:rFonts w:hint="eastAsia"/>
              </w:rPr>
              <w:t>李春燕</w:t>
            </w:r>
          </w:p>
        </w:tc>
        <w:tc>
          <w:tcPr>
            <w:tcW w:w="3864" w:type="dxa"/>
            <w:tcBorders>
              <w:tl2br w:val="nil"/>
              <w:tr2bl w:val="nil"/>
            </w:tcBorders>
            <w:shd w:val="clear" w:color="auto" w:fill="auto"/>
            <w:vAlign w:val="center"/>
          </w:tcPr>
          <w:p w14:paraId="0416F255">
            <w:pPr>
              <w:pStyle w:val="16"/>
            </w:pPr>
            <w:r>
              <w:t>S011011000110202000401</w:t>
            </w:r>
          </w:p>
        </w:tc>
        <w:tc>
          <w:tcPr>
            <w:tcW w:w="1897" w:type="dxa"/>
            <w:tcBorders>
              <w:tl2br w:val="nil"/>
              <w:tr2bl w:val="nil"/>
            </w:tcBorders>
            <w:shd w:val="clear" w:color="auto" w:fill="auto"/>
            <w:vAlign w:val="center"/>
          </w:tcPr>
          <w:p w14:paraId="7F5B6225">
            <w:pPr>
              <w:pStyle w:val="16"/>
            </w:pPr>
            <w:r>
              <w:t>040642</w:t>
            </w:r>
          </w:p>
        </w:tc>
      </w:tr>
      <w:tr w14:paraId="5B6B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43C3B21A">
            <w:pPr>
              <w:pStyle w:val="16"/>
            </w:pPr>
          </w:p>
        </w:tc>
        <w:tc>
          <w:tcPr>
            <w:tcW w:w="1820" w:type="dxa"/>
            <w:tcBorders>
              <w:tl2br w:val="nil"/>
              <w:tr2bl w:val="nil"/>
            </w:tcBorders>
            <w:shd w:val="clear" w:color="auto" w:fill="auto"/>
            <w:vAlign w:val="center"/>
          </w:tcPr>
          <w:p w14:paraId="45946C48">
            <w:pPr>
              <w:pStyle w:val="16"/>
            </w:pPr>
            <w:r>
              <w:rPr>
                <w:rFonts w:hint="eastAsia"/>
              </w:rPr>
              <w:t>韦根远</w:t>
            </w:r>
          </w:p>
        </w:tc>
        <w:tc>
          <w:tcPr>
            <w:tcW w:w="3864" w:type="dxa"/>
            <w:tcBorders>
              <w:tl2br w:val="nil"/>
              <w:tr2bl w:val="nil"/>
            </w:tcBorders>
            <w:shd w:val="clear" w:color="auto" w:fill="auto"/>
            <w:vAlign w:val="center"/>
          </w:tcPr>
          <w:p w14:paraId="6A0AE204">
            <w:pPr>
              <w:pStyle w:val="16"/>
            </w:pPr>
            <w:r>
              <w:rPr>
                <w:rFonts w:hint="eastAsia"/>
              </w:rPr>
              <w:t>S011044000110191001083</w:t>
            </w:r>
          </w:p>
        </w:tc>
        <w:tc>
          <w:tcPr>
            <w:tcW w:w="1897" w:type="dxa"/>
            <w:tcBorders>
              <w:tl2br w:val="nil"/>
              <w:tr2bl w:val="nil"/>
            </w:tcBorders>
            <w:shd w:val="clear" w:color="auto" w:fill="auto"/>
            <w:vAlign w:val="center"/>
          </w:tcPr>
          <w:p w14:paraId="3E8DA7D1">
            <w:pPr>
              <w:pStyle w:val="16"/>
            </w:pPr>
            <w:r>
              <w:rPr>
                <w:rFonts w:hint="eastAsia"/>
              </w:rPr>
              <w:t>028179</w:t>
            </w:r>
          </w:p>
        </w:tc>
      </w:tr>
      <w:tr w14:paraId="291B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539C490E">
            <w:pPr>
              <w:pStyle w:val="16"/>
            </w:pPr>
          </w:p>
        </w:tc>
        <w:tc>
          <w:tcPr>
            <w:tcW w:w="1820" w:type="dxa"/>
            <w:tcBorders>
              <w:tl2br w:val="nil"/>
              <w:tr2bl w:val="nil"/>
            </w:tcBorders>
            <w:shd w:val="clear" w:color="auto" w:fill="auto"/>
            <w:vAlign w:val="center"/>
          </w:tcPr>
          <w:p w14:paraId="2DAB7DD9">
            <w:pPr>
              <w:pStyle w:val="16"/>
            </w:pPr>
            <w:r>
              <w:rPr>
                <w:rFonts w:hint="eastAsia"/>
              </w:rPr>
              <w:t>张晋慧</w:t>
            </w:r>
          </w:p>
        </w:tc>
        <w:tc>
          <w:tcPr>
            <w:tcW w:w="3864" w:type="dxa"/>
            <w:tcBorders>
              <w:tl2br w:val="nil"/>
              <w:tr2bl w:val="nil"/>
            </w:tcBorders>
            <w:shd w:val="clear" w:color="auto" w:fill="auto"/>
            <w:vAlign w:val="center"/>
          </w:tcPr>
          <w:p w14:paraId="2707A68E">
            <w:pPr>
              <w:pStyle w:val="16"/>
            </w:pPr>
            <w:r>
              <w:t>1100000000302946</w:t>
            </w:r>
          </w:p>
        </w:tc>
        <w:tc>
          <w:tcPr>
            <w:tcW w:w="1897" w:type="dxa"/>
            <w:tcBorders>
              <w:tl2br w:val="nil"/>
              <w:tr2bl w:val="nil"/>
            </w:tcBorders>
            <w:shd w:val="clear" w:color="auto" w:fill="auto"/>
            <w:vAlign w:val="center"/>
          </w:tcPr>
          <w:p w14:paraId="6B8D5C51">
            <w:pPr>
              <w:pStyle w:val="16"/>
            </w:pPr>
            <w:r>
              <w:t>020045</w:t>
            </w:r>
          </w:p>
        </w:tc>
      </w:tr>
      <w:tr w14:paraId="43C1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1E54086A">
            <w:pPr>
              <w:pStyle w:val="16"/>
            </w:pPr>
          </w:p>
        </w:tc>
        <w:tc>
          <w:tcPr>
            <w:tcW w:w="1820" w:type="dxa"/>
            <w:tcBorders>
              <w:tl2br w:val="nil"/>
              <w:tr2bl w:val="nil"/>
            </w:tcBorders>
            <w:shd w:val="clear" w:color="auto" w:fill="auto"/>
            <w:vAlign w:val="center"/>
          </w:tcPr>
          <w:p w14:paraId="18D38CE6">
            <w:pPr>
              <w:pStyle w:val="16"/>
            </w:pPr>
            <w:r>
              <w:rPr>
                <w:rFonts w:hint="eastAsia"/>
              </w:rPr>
              <w:t>陈武斌</w:t>
            </w:r>
          </w:p>
        </w:tc>
        <w:tc>
          <w:tcPr>
            <w:tcW w:w="3864" w:type="dxa"/>
            <w:tcBorders>
              <w:tl2br w:val="nil"/>
              <w:tr2bl w:val="nil"/>
            </w:tcBorders>
            <w:shd w:val="clear" w:color="auto" w:fill="auto"/>
            <w:vAlign w:val="center"/>
          </w:tcPr>
          <w:p w14:paraId="06D1047D">
            <w:pPr>
              <w:pStyle w:val="16"/>
            </w:pPr>
            <w:r>
              <w:rPr>
                <w:rFonts w:hint="eastAsia"/>
              </w:rPr>
              <w:t>1100000000300371</w:t>
            </w:r>
          </w:p>
        </w:tc>
        <w:tc>
          <w:tcPr>
            <w:tcW w:w="1897" w:type="dxa"/>
            <w:tcBorders>
              <w:tl2br w:val="nil"/>
              <w:tr2bl w:val="nil"/>
            </w:tcBorders>
            <w:shd w:val="clear" w:color="auto" w:fill="auto"/>
            <w:vAlign w:val="center"/>
          </w:tcPr>
          <w:p w14:paraId="1BA5D3FA">
            <w:pPr>
              <w:pStyle w:val="16"/>
            </w:pPr>
            <w:r>
              <w:rPr>
                <w:rFonts w:hint="eastAsia"/>
              </w:rPr>
              <w:t>019967</w:t>
            </w:r>
          </w:p>
        </w:tc>
      </w:tr>
      <w:tr w14:paraId="5FE4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0135F7DE">
            <w:pPr>
              <w:pStyle w:val="16"/>
            </w:pPr>
            <w:r>
              <w:t>技术专家</w:t>
            </w:r>
          </w:p>
        </w:tc>
        <w:tc>
          <w:tcPr>
            <w:tcW w:w="7581" w:type="dxa"/>
            <w:gridSpan w:val="3"/>
            <w:tcBorders>
              <w:tl2br w:val="nil"/>
              <w:tr2bl w:val="nil"/>
            </w:tcBorders>
            <w:shd w:val="clear" w:color="auto" w:fill="auto"/>
            <w:vAlign w:val="center"/>
          </w:tcPr>
          <w:p w14:paraId="0E72A9B0">
            <w:pPr>
              <w:pStyle w:val="16"/>
            </w:pPr>
            <w:r>
              <w:t>/</w:t>
            </w:r>
          </w:p>
        </w:tc>
      </w:tr>
      <w:tr w14:paraId="621A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5A59BE47">
            <w:pPr>
              <w:pStyle w:val="16"/>
            </w:pPr>
            <w:r>
              <w:t>现场勘察人员及时间</w:t>
            </w:r>
          </w:p>
        </w:tc>
        <w:tc>
          <w:tcPr>
            <w:tcW w:w="7581" w:type="dxa"/>
            <w:gridSpan w:val="3"/>
            <w:tcBorders>
              <w:tl2br w:val="nil"/>
              <w:tr2bl w:val="nil"/>
            </w:tcBorders>
            <w:shd w:val="clear" w:color="auto" w:fill="auto"/>
            <w:vAlign w:val="center"/>
          </w:tcPr>
          <w:p w14:paraId="3FE57DDD">
            <w:pPr>
              <w:pStyle w:val="16"/>
            </w:pPr>
            <w:r>
              <w:rPr>
                <w:rFonts w:hint="eastAsia"/>
              </w:rPr>
              <w:t>塔娜、李春燕</w:t>
            </w:r>
            <w:r>
              <w:t>202</w:t>
            </w:r>
            <w:r>
              <w:rPr>
                <w:rFonts w:hint="eastAsia"/>
              </w:rPr>
              <w:t>4.3.</w:t>
            </w:r>
            <w:r>
              <w:t>1</w:t>
            </w:r>
            <w:r>
              <w:rPr>
                <w:rFonts w:hint="eastAsia"/>
              </w:rPr>
              <w:t>5</w:t>
            </w:r>
          </w:p>
        </w:tc>
      </w:tr>
      <w:tr w14:paraId="198A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27E7A77D">
            <w:pPr>
              <w:pStyle w:val="16"/>
            </w:pPr>
            <w:r>
              <w:rPr>
                <w:rFonts w:hint="eastAsia"/>
              </w:rPr>
              <w:t>现场核查的人员和时间</w:t>
            </w:r>
          </w:p>
        </w:tc>
        <w:tc>
          <w:tcPr>
            <w:tcW w:w="7581" w:type="dxa"/>
            <w:gridSpan w:val="3"/>
            <w:tcBorders>
              <w:tl2br w:val="nil"/>
              <w:tr2bl w:val="nil"/>
            </w:tcBorders>
            <w:shd w:val="clear" w:color="auto" w:fill="auto"/>
            <w:vAlign w:val="center"/>
          </w:tcPr>
          <w:p w14:paraId="7D113E26">
            <w:pPr>
              <w:pStyle w:val="16"/>
            </w:pPr>
            <w:r>
              <w:rPr>
                <w:rFonts w:hint="eastAsia"/>
              </w:rPr>
              <w:t>塔娜、李春燕2</w:t>
            </w:r>
            <w:r>
              <w:t>02</w:t>
            </w:r>
            <w:r>
              <w:rPr>
                <w:rFonts w:hint="eastAsia"/>
              </w:rPr>
              <w:t>4</w:t>
            </w:r>
            <w:r>
              <w:t>.</w:t>
            </w:r>
            <w:r>
              <w:rPr>
                <w:rFonts w:hint="eastAsia"/>
              </w:rPr>
              <w:t>4</w:t>
            </w:r>
            <w:r>
              <w:t>.</w:t>
            </w:r>
            <w:r>
              <w:rPr>
                <w:rFonts w:hint="eastAsia"/>
              </w:rPr>
              <w:t>25</w:t>
            </w:r>
          </w:p>
        </w:tc>
      </w:tr>
      <w:tr w14:paraId="2A43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64DBAA55">
            <w:pPr>
              <w:pStyle w:val="16"/>
            </w:pPr>
            <w:r>
              <w:t>项目简介</w:t>
            </w:r>
          </w:p>
        </w:tc>
        <w:tc>
          <w:tcPr>
            <w:tcW w:w="7581" w:type="dxa"/>
            <w:gridSpan w:val="3"/>
            <w:tcBorders>
              <w:tl2br w:val="nil"/>
              <w:tr2bl w:val="nil"/>
            </w:tcBorders>
            <w:shd w:val="clear" w:color="auto" w:fill="auto"/>
          </w:tcPr>
          <w:p w14:paraId="378ECC62">
            <w:pPr>
              <w:pStyle w:val="16"/>
              <w:ind w:firstLine="480" w:firstLineChars="200"/>
            </w:pPr>
            <w:r>
              <w:rPr>
                <w:rFonts w:hint="eastAsia"/>
              </w:rPr>
              <w:t>液化空气工业气体（鄂尔多斯）有限公司厂区分为经营和生产两部分，生产装置为氮气产量为19884Nm</w:t>
            </w:r>
            <w:r>
              <w:rPr>
                <w:rFonts w:hint="eastAsia"/>
                <w:vertAlign w:val="superscript"/>
              </w:rPr>
              <w:t>3</w:t>
            </w:r>
            <w:r>
              <w:rPr>
                <w:rFonts w:hint="eastAsia"/>
              </w:rPr>
              <w:t>/h的空分装置，停用的电解水制氢装置、氮气空分装置及氢气和氧气等纯化系统不在本次评价范围内。</w:t>
            </w:r>
          </w:p>
          <w:p w14:paraId="4D32967E">
            <w:pPr>
              <w:pStyle w:val="16"/>
              <w:ind w:firstLine="480" w:firstLineChars="200"/>
            </w:pPr>
            <w:r>
              <w:rPr>
                <w:rFonts w:hint="eastAsia"/>
              </w:rPr>
              <w:t>本次安全现状评价只涉及该公司氧气、二氧化碳、氮气、氩气、氢气经营设施及配套的公辅设施，生产部分只检查与本次评价范围内设施的安全防火间距，不进行详细评价。</w:t>
            </w:r>
          </w:p>
          <w:p w14:paraId="623F27D5">
            <w:pPr>
              <w:pStyle w:val="16"/>
              <w:ind w:firstLine="480" w:firstLineChars="200"/>
            </w:pPr>
            <w:r>
              <w:rPr>
                <w:rFonts w:hint="eastAsia"/>
              </w:rPr>
              <w:t>危险化学品经营许可证号：东应急管经（乙）字[2021]008</w:t>
            </w:r>
          </w:p>
          <w:p w14:paraId="2BE804D3">
            <w:pPr>
              <w:pStyle w:val="16"/>
              <w:ind w:firstLine="480" w:firstLineChars="200"/>
            </w:pPr>
            <w:r>
              <w:rPr>
                <w:rFonts w:hint="eastAsia"/>
              </w:rPr>
              <w:t>危险化学品经营许可范围：氮[压缩的或液化的]、二氧化碳[压缩的或液化的]、氧[压缩的或液化的]、氩气[压缩的或液化的]、氢气</w:t>
            </w:r>
          </w:p>
          <w:p w14:paraId="7F0DE273">
            <w:pPr>
              <w:pStyle w:val="16"/>
              <w:ind w:firstLine="480" w:firstLineChars="200"/>
            </w:pPr>
            <w:r>
              <w:rPr>
                <w:rFonts w:hint="eastAsia"/>
              </w:rPr>
              <w:t>总占地面积：7623m</w:t>
            </w:r>
            <w:r>
              <w:rPr>
                <w:rFonts w:hint="eastAsia"/>
                <w:vertAlign w:val="superscript"/>
              </w:rPr>
              <w:t>2</w:t>
            </w:r>
          </w:p>
          <w:p w14:paraId="52B540C6">
            <w:pPr>
              <w:pStyle w:val="16"/>
              <w:ind w:firstLine="480" w:firstLineChars="200"/>
            </w:pPr>
            <w:r>
              <w:rPr>
                <w:rFonts w:hint="eastAsia"/>
              </w:rPr>
              <w:t>液化空气工业气体（鄂尔多斯）有限公司主要为鄂尔多斯市源盛光电有限责任公司（属于京东方科技集团全资子公司，即京东方第6厂）TFT生产项目供应日常生产所需的氮，氢，氧，氩，二氧化碳。</w:t>
            </w:r>
          </w:p>
          <w:p w14:paraId="0E82D475">
            <w:pPr>
              <w:pStyle w:val="16"/>
              <w:ind w:firstLine="480" w:firstLineChars="200"/>
            </w:pPr>
            <w:r>
              <w:rPr>
                <w:rFonts w:hint="eastAsia"/>
              </w:rPr>
              <w:t>该公司现有空分装置系统的生产能力为：以空气为原料，生产高纯氮气，氮气产量为19884Nm</w:t>
            </w:r>
            <w:r>
              <w:rPr>
                <w:rFonts w:hint="eastAsia"/>
                <w:vertAlign w:val="superscript"/>
              </w:rPr>
              <w:t>3</w:t>
            </w:r>
            <w:r>
              <w:rPr>
                <w:rFonts w:hint="eastAsia"/>
              </w:rPr>
              <w:t>/h，为源盛光电提供的大宗气体用量为氮气19884Nm</w:t>
            </w:r>
            <w:r>
              <w:rPr>
                <w:rFonts w:hint="eastAsia"/>
                <w:vertAlign w:val="superscript"/>
              </w:rPr>
              <w:t>3</w:t>
            </w:r>
            <w:r>
              <w:rPr>
                <w:rFonts w:hint="eastAsia"/>
              </w:rPr>
              <w:t>/h。</w:t>
            </w:r>
          </w:p>
          <w:p w14:paraId="4C1D4EE4">
            <w:pPr>
              <w:pStyle w:val="16"/>
              <w:ind w:firstLine="480" w:firstLineChars="200"/>
            </w:pPr>
            <w:r>
              <w:rPr>
                <w:rFonts w:hint="eastAsia"/>
              </w:rPr>
              <w:t>外购二氧化碳，储存于液体二氧化碳储罐；外购氩气，储存于液氩储罐。外购氢气氧气。为源盛光电提供的大宗气体用量为氮气19884Nm</w:t>
            </w:r>
            <w:r>
              <w:rPr>
                <w:rFonts w:hint="eastAsia"/>
                <w:vertAlign w:val="superscript"/>
              </w:rPr>
              <w:t>3</w:t>
            </w:r>
            <w:r>
              <w:rPr>
                <w:rFonts w:hint="eastAsia"/>
              </w:rPr>
              <w:t>/h，氢气20Nm</w:t>
            </w:r>
            <w:r>
              <w:rPr>
                <w:rFonts w:hint="eastAsia"/>
                <w:vertAlign w:val="superscript"/>
              </w:rPr>
              <w:t>3</w:t>
            </w:r>
            <w:r>
              <w:rPr>
                <w:rFonts w:hint="eastAsia"/>
              </w:rPr>
              <w:t>/h，氧气20Nm</w:t>
            </w:r>
            <w:r>
              <w:rPr>
                <w:rFonts w:hint="eastAsia"/>
                <w:vertAlign w:val="superscript"/>
              </w:rPr>
              <w:t>3</w:t>
            </w:r>
            <w:r>
              <w:rPr>
                <w:rFonts w:hint="eastAsia"/>
              </w:rPr>
              <w:t>/h，氩气20Nm</w:t>
            </w:r>
            <w:r>
              <w:rPr>
                <w:rFonts w:hint="eastAsia"/>
                <w:vertAlign w:val="superscript"/>
              </w:rPr>
              <w:t>3</w:t>
            </w:r>
            <w:r>
              <w:rPr>
                <w:rFonts w:hint="eastAsia"/>
              </w:rPr>
              <w:t>/h，二氧化碳90Nm</w:t>
            </w:r>
            <w:r>
              <w:rPr>
                <w:rFonts w:hint="eastAsia"/>
                <w:vertAlign w:val="superscript"/>
              </w:rPr>
              <w:t>3</w:t>
            </w:r>
            <w:r>
              <w:rPr>
                <w:rFonts w:hint="eastAsia"/>
              </w:rPr>
              <w:t>/h。</w:t>
            </w:r>
          </w:p>
          <w:p w14:paraId="26799E86">
            <w:pPr>
              <w:pStyle w:val="16"/>
              <w:ind w:firstLine="480" w:firstLineChars="200"/>
            </w:pPr>
            <w:r>
              <w:rPr>
                <w:rFonts w:hint="eastAsia"/>
              </w:rPr>
              <w:t>该公司于2016年6月27日经鄂尔多斯市安全生产监督管理局评定为安全生产标准化三级企业。</w:t>
            </w:r>
          </w:p>
          <w:p w14:paraId="41DBA863">
            <w:pPr>
              <w:pStyle w:val="16"/>
              <w:ind w:firstLine="560"/>
            </w:pPr>
            <w:r>
              <w:rPr>
                <w:rFonts w:hint="eastAsia"/>
              </w:rPr>
              <w:t>液化空气工业气体（鄂尔多斯）有限公司生产过程中的主要危险、有害物质有：氮[压缩的或液化的]、氧[压缩的或液化的]、氢气、氩[压缩的或液化的]、二氧化碳[压缩的或液化的]、柴油。</w:t>
            </w:r>
          </w:p>
          <w:p w14:paraId="4A795713">
            <w:pPr>
              <w:pStyle w:val="16"/>
              <w:ind w:firstLine="560"/>
            </w:pPr>
            <w:r>
              <w:rPr>
                <w:rFonts w:hint="eastAsia"/>
              </w:rPr>
              <w:t>通过对生产工艺过程、设备设施等方面进行辨识与分析可知，液化空气工业气体（鄂尔多斯）有限公司生产过程和设备设施存在的主要危险、有害因素为火灾、爆炸、物理爆炸、中毒和窒息、低温冻伤、触电、机械伤害、起重伤害、物体打击、高处坠落、车辆伤害、噪声等。</w:t>
            </w:r>
          </w:p>
          <w:p w14:paraId="3BE042A9">
            <w:pPr>
              <w:pStyle w:val="16"/>
              <w:ind w:firstLine="560"/>
            </w:pPr>
            <w:r>
              <w:rPr>
                <w:rFonts w:hint="eastAsia"/>
              </w:rPr>
              <w:t>根据《国家安全监管总局关于公布首批重点监管的危险化学品名录的通知》（安监总管三[2011]95号）、《国家安全监管总局关于公布第二批重点监管危险化学品名录的通知》（安监总管三[2013]12号），液化空气工业气体（鄂尔多斯）有限公司涉及重点监管的危险化学品有氢气。</w:t>
            </w:r>
          </w:p>
          <w:p w14:paraId="256A2C2E">
            <w:pPr>
              <w:pStyle w:val="16"/>
              <w:ind w:firstLine="560"/>
            </w:pPr>
            <w:r>
              <w:rPr>
                <w:rFonts w:hint="eastAsia"/>
              </w:rPr>
              <w:t>依据《国家安全监管总局关于公布首批重点监管的危险化工工艺目录的通知》（安监总管三[2009]116号）、《国家安全监管总局关于公布第二批重点监管危险化工工艺目录和调整首批重点监管危险化工工艺中部分典型工艺的通知》（安监总管三[2013]第3号），液化空气工业气体（鄂尔多斯）有限公司不涉及重点监管的危险化工工艺。</w:t>
            </w:r>
          </w:p>
          <w:p w14:paraId="750FF3C4">
            <w:pPr>
              <w:pStyle w:val="16"/>
              <w:ind w:firstLine="560"/>
            </w:pPr>
            <w:r>
              <w:rPr>
                <w:rFonts w:hint="eastAsia"/>
              </w:rPr>
              <w:t>依据《危险化学品重大危险源辨识》（GB18218-2018）及《危险化学品重大危险源监督管理规定》（安监总局令[2011]第40号的规定，安监总局令[2015]第79号最新修订）的规定，对液化空气工业气体（鄂尔多斯）有限公司危险化学品重大危险源进行辨识，该公司不构成危险化学品重大危险源。</w:t>
            </w:r>
          </w:p>
          <w:p w14:paraId="5EF2F8E8">
            <w:pPr>
              <w:pStyle w:val="16"/>
              <w:ind w:firstLine="560"/>
            </w:pPr>
            <w:r>
              <w:rPr>
                <w:rFonts w:hint="eastAsia"/>
              </w:rPr>
              <w:t>评价结论：液化空气工业气体（鄂尔多斯）有限公司氧气、二氧化碳、氮气、氩气、氢气经营项目符合《中华人民共和国安全生产法》（国家主席令[2014]第13号）、《危险化学品安全管理条例（2013年修正）》（国务院令[2013]第645号）、《危险化学品经营许可证管理办法》（国家安监总局令第55号，2015年安监总局79号令修订）及国家其他有关法律、法规、部门规章和标准规范的要求，具备安全生产的条件。</w:t>
            </w:r>
          </w:p>
        </w:tc>
      </w:tr>
      <w:tr w14:paraId="5A7B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065A8AA6">
            <w:pPr>
              <w:pStyle w:val="16"/>
              <w:jc w:val="center"/>
            </w:pPr>
            <w:r>
              <w:t>现场照片</w:t>
            </w:r>
          </w:p>
        </w:tc>
        <w:tc>
          <w:tcPr>
            <w:tcW w:w="7581" w:type="dxa"/>
            <w:gridSpan w:val="3"/>
            <w:tcBorders>
              <w:tl2br w:val="nil"/>
              <w:tr2bl w:val="nil"/>
            </w:tcBorders>
            <w:shd w:val="clear" w:color="auto" w:fill="auto"/>
          </w:tcPr>
          <w:p w14:paraId="5A85B076">
            <w:pPr>
              <w:pStyle w:val="12"/>
              <w:snapToGrid w:val="0"/>
              <w:ind w:firstLine="0" w:firstLineChars="0"/>
              <w:jc w:val="both"/>
              <w:rPr>
                <w:sz w:val="21"/>
                <w:szCs w:val="21"/>
              </w:rPr>
            </w:pPr>
            <w:r>
              <w:drawing>
                <wp:inline distT="0" distB="0" distL="0" distR="0">
                  <wp:extent cx="2237105" cy="1728470"/>
                  <wp:effectExtent l="0" t="0" r="10795" b="5080"/>
                  <wp:docPr id="16923945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94503" name="图片 1"/>
                          <pic:cNvPicPr>
                            <a:picLocks noChangeAspect="1" noChangeArrowheads="1"/>
                          </pic:cNvPicPr>
                        </pic:nvPicPr>
                        <pic:blipFill>
                          <a:blip r:embed="rId5"/>
                          <a:srcRect/>
                          <a:stretch>
                            <a:fillRect/>
                          </a:stretch>
                        </pic:blipFill>
                        <pic:spPr>
                          <a:xfrm>
                            <a:off x="0" y="0"/>
                            <a:ext cx="2237105" cy="1735434"/>
                          </a:xfrm>
                          <a:prstGeom prst="rect">
                            <a:avLst/>
                          </a:prstGeom>
                          <a:noFill/>
                          <a:ln>
                            <a:noFill/>
                          </a:ln>
                        </pic:spPr>
                      </pic:pic>
                    </a:graphicData>
                  </a:graphic>
                </wp:inline>
              </w:drawing>
            </w:r>
            <w:bookmarkStart w:id="0" w:name="_GoBack"/>
            <w:r>
              <w:drawing>
                <wp:inline distT="0" distB="0" distL="0" distR="0">
                  <wp:extent cx="2479040" cy="1727200"/>
                  <wp:effectExtent l="0" t="0" r="16510" b="6350"/>
                  <wp:docPr id="12638965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96576" name="图片 2"/>
                          <pic:cNvPicPr>
                            <a:picLocks noChangeAspect="1" noChangeArrowheads="1"/>
                          </pic:cNvPicPr>
                        </pic:nvPicPr>
                        <pic:blipFill>
                          <a:blip r:embed="rId6"/>
                          <a:srcRect/>
                          <a:stretch>
                            <a:fillRect/>
                          </a:stretch>
                        </pic:blipFill>
                        <pic:spPr>
                          <a:xfrm>
                            <a:off x="0" y="0"/>
                            <a:ext cx="2485094" cy="1727200"/>
                          </a:xfrm>
                          <a:prstGeom prst="rect">
                            <a:avLst/>
                          </a:prstGeom>
                          <a:noFill/>
                          <a:ln>
                            <a:noFill/>
                          </a:ln>
                        </pic:spPr>
                      </pic:pic>
                    </a:graphicData>
                  </a:graphic>
                </wp:inline>
              </w:drawing>
            </w:r>
            <w:bookmarkEnd w:id="0"/>
          </w:p>
          <w:p w14:paraId="1668ABCA">
            <w:pPr>
              <w:pStyle w:val="12"/>
              <w:snapToGrid w:val="0"/>
              <w:ind w:firstLine="0" w:firstLineChars="0"/>
              <w:jc w:val="both"/>
              <w:rPr>
                <w:sz w:val="21"/>
                <w:szCs w:val="21"/>
              </w:rPr>
            </w:pPr>
            <w:r>
              <w:drawing>
                <wp:inline distT="0" distB="0" distL="0" distR="0">
                  <wp:extent cx="2320925" cy="1757680"/>
                  <wp:effectExtent l="0" t="0" r="3175" b="13970"/>
                  <wp:docPr id="14124420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42040" name="图片 3"/>
                          <pic:cNvPicPr>
                            <a:picLocks noChangeAspect="1" noChangeArrowheads="1"/>
                          </pic:cNvPicPr>
                        </pic:nvPicPr>
                        <pic:blipFill>
                          <a:blip r:embed="rId7"/>
                          <a:srcRect/>
                          <a:stretch>
                            <a:fillRect/>
                          </a:stretch>
                        </pic:blipFill>
                        <pic:spPr>
                          <a:xfrm>
                            <a:off x="0" y="0"/>
                            <a:ext cx="2334845" cy="1757680"/>
                          </a:xfrm>
                          <a:prstGeom prst="rect">
                            <a:avLst/>
                          </a:prstGeom>
                          <a:noFill/>
                          <a:ln>
                            <a:noFill/>
                          </a:ln>
                        </pic:spPr>
                      </pic:pic>
                    </a:graphicData>
                  </a:graphic>
                </wp:inline>
              </w:drawing>
            </w:r>
            <w:r>
              <w:drawing>
                <wp:inline distT="0" distB="0" distL="0" distR="0">
                  <wp:extent cx="2396490" cy="1756410"/>
                  <wp:effectExtent l="0" t="0" r="3810" b="15240"/>
                  <wp:docPr id="135569728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97287" name="图片 4"/>
                          <pic:cNvPicPr>
                            <a:picLocks noChangeAspect="1" noChangeArrowheads="1"/>
                          </pic:cNvPicPr>
                        </pic:nvPicPr>
                        <pic:blipFill>
                          <a:blip r:embed="rId8"/>
                          <a:srcRect/>
                          <a:stretch>
                            <a:fillRect/>
                          </a:stretch>
                        </pic:blipFill>
                        <pic:spPr>
                          <a:xfrm>
                            <a:off x="0" y="0"/>
                            <a:ext cx="2406368" cy="1756410"/>
                          </a:xfrm>
                          <a:prstGeom prst="rect">
                            <a:avLst/>
                          </a:prstGeom>
                          <a:noFill/>
                          <a:ln>
                            <a:noFill/>
                          </a:ln>
                        </pic:spPr>
                      </pic:pic>
                    </a:graphicData>
                  </a:graphic>
                </wp:inline>
              </w:drawing>
            </w:r>
          </w:p>
          <w:p w14:paraId="12B590AC">
            <w:pPr>
              <w:pStyle w:val="12"/>
              <w:snapToGrid w:val="0"/>
              <w:ind w:firstLine="0" w:firstLineChars="0"/>
              <w:jc w:val="both"/>
              <w:rPr>
                <w:sz w:val="21"/>
                <w:szCs w:val="21"/>
              </w:rPr>
            </w:pPr>
            <w:r>
              <w:drawing>
                <wp:inline distT="0" distB="0" distL="0" distR="0">
                  <wp:extent cx="2145030" cy="1920875"/>
                  <wp:effectExtent l="0" t="0" r="7620" b="3175"/>
                  <wp:docPr id="2625731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73110" name="图片 5"/>
                          <pic:cNvPicPr>
                            <a:picLocks noChangeAspect="1" noChangeArrowheads="1"/>
                          </pic:cNvPicPr>
                        </pic:nvPicPr>
                        <pic:blipFill>
                          <a:blip r:embed="rId9"/>
                          <a:srcRect/>
                          <a:stretch>
                            <a:fillRect/>
                          </a:stretch>
                        </pic:blipFill>
                        <pic:spPr>
                          <a:xfrm>
                            <a:off x="0" y="0"/>
                            <a:ext cx="2156270" cy="1920875"/>
                          </a:xfrm>
                          <a:prstGeom prst="rect">
                            <a:avLst/>
                          </a:prstGeom>
                          <a:noFill/>
                          <a:ln>
                            <a:noFill/>
                          </a:ln>
                        </pic:spPr>
                      </pic:pic>
                    </a:graphicData>
                  </a:graphic>
                </wp:inline>
              </w:drawing>
            </w:r>
            <w:r>
              <w:drawing>
                <wp:inline distT="0" distB="0" distL="0" distR="0">
                  <wp:extent cx="2620010" cy="1934210"/>
                  <wp:effectExtent l="0" t="0" r="8890" b="8890"/>
                  <wp:docPr id="209869327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93279" name="图片 6"/>
                          <pic:cNvPicPr>
                            <a:picLocks noChangeAspect="1" noChangeArrowheads="1"/>
                          </pic:cNvPicPr>
                        </pic:nvPicPr>
                        <pic:blipFill>
                          <a:blip r:embed="rId10"/>
                          <a:srcRect/>
                          <a:stretch>
                            <a:fillRect/>
                          </a:stretch>
                        </pic:blipFill>
                        <pic:spPr>
                          <a:xfrm>
                            <a:off x="0" y="0"/>
                            <a:ext cx="2620010" cy="1934459"/>
                          </a:xfrm>
                          <a:prstGeom prst="rect">
                            <a:avLst/>
                          </a:prstGeom>
                          <a:noFill/>
                          <a:ln>
                            <a:noFill/>
                          </a:ln>
                        </pic:spPr>
                      </pic:pic>
                    </a:graphicData>
                  </a:graphic>
                </wp:inline>
              </w:drawing>
            </w:r>
          </w:p>
        </w:tc>
      </w:tr>
      <w:tr w14:paraId="54BA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5A0573C7">
            <w:pPr>
              <w:pStyle w:val="16"/>
            </w:pPr>
            <w:r>
              <w:t>被评价单位信息反馈情况</w:t>
            </w:r>
          </w:p>
        </w:tc>
        <w:tc>
          <w:tcPr>
            <w:tcW w:w="7581" w:type="dxa"/>
            <w:gridSpan w:val="3"/>
            <w:tcBorders>
              <w:tl2br w:val="nil"/>
              <w:tr2bl w:val="nil"/>
            </w:tcBorders>
            <w:shd w:val="clear" w:color="auto" w:fill="auto"/>
            <w:vAlign w:val="center"/>
          </w:tcPr>
          <w:p w14:paraId="1E3790CE">
            <w:pPr>
              <w:pStyle w:val="16"/>
              <w:ind w:firstLine="560"/>
            </w:pPr>
            <w:r>
              <w:rPr>
                <w:rFonts w:hint="eastAsia"/>
              </w:rPr>
              <w:t>满意</w:t>
            </w:r>
          </w:p>
        </w:tc>
      </w:tr>
    </w:tbl>
    <w:p w14:paraId="24A7D946">
      <w:pPr>
        <w:pStyle w:val="2"/>
        <w:ind w:firstLine="560"/>
      </w:pPr>
    </w:p>
    <w:p w14:paraId="56471B8F">
      <w:pPr>
        <w:widowControl/>
        <w:jc w:val="left"/>
        <w:rPr>
          <w:rFonts w:eastAsia="仿宋_GB2312"/>
          <w:kern w:val="0"/>
          <w:szCs w:val="20"/>
        </w:rPr>
      </w:pPr>
      <w:r>
        <w:br w:type="page"/>
      </w:r>
    </w:p>
    <w:p w14:paraId="207BA3F6">
      <w:pPr>
        <w:pStyle w:val="2"/>
        <w:ind w:firstLine="0"/>
        <w:jc w:val="center"/>
        <w:rPr>
          <w:rFonts w:hint="eastAsia"/>
        </w:rPr>
      </w:pPr>
      <w:r>
        <w:rPr>
          <w:rFonts w:hint="eastAsia"/>
        </w:rPr>
        <w:t>安全评价报告</w:t>
      </w:r>
      <w:r>
        <w:t>公开信息表</w:t>
      </w:r>
    </w:p>
    <w:tbl>
      <w:tblPr>
        <w:tblStyle w:val="14"/>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155C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6875E50E">
            <w:pPr>
              <w:pStyle w:val="16"/>
            </w:pPr>
            <w:r>
              <w:t>项目名称</w:t>
            </w:r>
          </w:p>
        </w:tc>
        <w:tc>
          <w:tcPr>
            <w:tcW w:w="7581" w:type="dxa"/>
            <w:gridSpan w:val="3"/>
            <w:tcBorders>
              <w:tl2br w:val="nil"/>
              <w:tr2bl w:val="nil"/>
            </w:tcBorders>
            <w:shd w:val="clear" w:color="auto" w:fill="auto"/>
            <w:vAlign w:val="center"/>
          </w:tcPr>
          <w:p w14:paraId="0DE13FE0">
            <w:pPr>
              <w:pStyle w:val="16"/>
            </w:pPr>
            <w:r>
              <w:rPr>
                <w:rFonts w:hint="eastAsia"/>
              </w:rPr>
              <w:t>空气化工产品（呼和浩特）有限公司热再生塔加热器升级项目设立安全评价报告</w:t>
            </w:r>
          </w:p>
        </w:tc>
      </w:tr>
      <w:tr w14:paraId="5F10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0E8B042D">
            <w:pPr>
              <w:pStyle w:val="16"/>
            </w:pPr>
            <w:r>
              <w:t>完成时间</w:t>
            </w:r>
          </w:p>
        </w:tc>
        <w:tc>
          <w:tcPr>
            <w:tcW w:w="7581" w:type="dxa"/>
            <w:gridSpan w:val="3"/>
            <w:tcBorders>
              <w:tl2br w:val="nil"/>
              <w:tr2bl w:val="nil"/>
            </w:tcBorders>
            <w:shd w:val="clear" w:color="auto" w:fill="auto"/>
            <w:vAlign w:val="center"/>
          </w:tcPr>
          <w:p w14:paraId="062BF2DD">
            <w:pPr>
              <w:pStyle w:val="16"/>
            </w:pPr>
            <w:r>
              <w:rPr>
                <w:rFonts w:hint="eastAsia"/>
              </w:rPr>
              <w:t>2024.5.20</w:t>
            </w:r>
          </w:p>
        </w:tc>
      </w:tr>
      <w:tr w14:paraId="4F5D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54" w:type="dxa"/>
            <w:gridSpan w:val="4"/>
            <w:tcBorders>
              <w:tl2br w:val="nil"/>
              <w:tr2bl w:val="nil"/>
            </w:tcBorders>
            <w:shd w:val="clear" w:color="auto" w:fill="auto"/>
            <w:vAlign w:val="center"/>
          </w:tcPr>
          <w:p w14:paraId="2241BF85">
            <w:pPr>
              <w:pStyle w:val="16"/>
            </w:pPr>
            <w:r>
              <w:rPr>
                <w:rFonts w:hint="eastAsia"/>
              </w:rPr>
              <w:t>评价人员</w:t>
            </w:r>
          </w:p>
        </w:tc>
      </w:tr>
      <w:tr w14:paraId="5C0F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40D5372A">
            <w:pPr>
              <w:pStyle w:val="16"/>
            </w:pPr>
          </w:p>
        </w:tc>
        <w:tc>
          <w:tcPr>
            <w:tcW w:w="1820" w:type="dxa"/>
            <w:tcBorders>
              <w:tl2br w:val="nil"/>
              <w:tr2bl w:val="nil"/>
            </w:tcBorders>
            <w:shd w:val="clear" w:color="auto" w:fill="auto"/>
            <w:vAlign w:val="center"/>
          </w:tcPr>
          <w:p w14:paraId="4EB22711">
            <w:pPr>
              <w:pStyle w:val="16"/>
            </w:pPr>
            <w:r>
              <w:t>姓名</w:t>
            </w:r>
          </w:p>
        </w:tc>
        <w:tc>
          <w:tcPr>
            <w:tcW w:w="3864" w:type="dxa"/>
            <w:tcBorders>
              <w:tl2br w:val="nil"/>
              <w:tr2bl w:val="nil"/>
            </w:tcBorders>
            <w:shd w:val="clear" w:color="auto" w:fill="auto"/>
            <w:vAlign w:val="center"/>
          </w:tcPr>
          <w:p w14:paraId="239184BB">
            <w:pPr>
              <w:pStyle w:val="16"/>
            </w:pPr>
            <w:r>
              <w:t>资格证书号</w:t>
            </w:r>
          </w:p>
        </w:tc>
        <w:tc>
          <w:tcPr>
            <w:tcW w:w="1897" w:type="dxa"/>
            <w:tcBorders>
              <w:tl2br w:val="nil"/>
              <w:tr2bl w:val="nil"/>
            </w:tcBorders>
            <w:shd w:val="clear" w:color="auto" w:fill="auto"/>
            <w:vAlign w:val="center"/>
          </w:tcPr>
          <w:p w14:paraId="209DAD56">
            <w:pPr>
              <w:pStyle w:val="16"/>
            </w:pPr>
            <w:r>
              <w:t>从业号</w:t>
            </w:r>
          </w:p>
        </w:tc>
      </w:tr>
      <w:tr w14:paraId="409C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5AB8CF6C">
            <w:pPr>
              <w:pStyle w:val="16"/>
            </w:pPr>
            <w:r>
              <w:t>项目负责人</w:t>
            </w:r>
          </w:p>
        </w:tc>
        <w:tc>
          <w:tcPr>
            <w:tcW w:w="1820" w:type="dxa"/>
            <w:tcBorders>
              <w:tl2br w:val="nil"/>
              <w:tr2bl w:val="nil"/>
            </w:tcBorders>
            <w:shd w:val="clear" w:color="auto" w:fill="auto"/>
            <w:vAlign w:val="center"/>
          </w:tcPr>
          <w:p w14:paraId="7EFA5672">
            <w:pPr>
              <w:pStyle w:val="16"/>
            </w:pPr>
            <w:r>
              <w:rPr>
                <w:rFonts w:hint="eastAsia"/>
              </w:rPr>
              <w:t>塔娜</w:t>
            </w:r>
          </w:p>
        </w:tc>
        <w:tc>
          <w:tcPr>
            <w:tcW w:w="3864" w:type="dxa"/>
            <w:tcBorders>
              <w:tl2br w:val="nil"/>
              <w:tr2bl w:val="nil"/>
            </w:tcBorders>
            <w:shd w:val="clear" w:color="auto" w:fill="auto"/>
            <w:vAlign w:val="center"/>
          </w:tcPr>
          <w:p w14:paraId="64D3490D">
            <w:pPr>
              <w:pStyle w:val="16"/>
            </w:pPr>
            <w:r>
              <w:t>1700000000200088</w:t>
            </w:r>
          </w:p>
        </w:tc>
        <w:tc>
          <w:tcPr>
            <w:tcW w:w="1897" w:type="dxa"/>
            <w:tcBorders>
              <w:tl2br w:val="nil"/>
              <w:tr2bl w:val="nil"/>
            </w:tcBorders>
            <w:shd w:val="clear" w:color="auto" w:fill="auto"/>
            <w:vAlign w:val="center"/>
          </w:tcPr>
          <w:p w14:paraId="18A65875">
            <w:pPr>
              <w:pStyle w:val="16"/>
            </w:pPr>
            <w:r>
              <w:t>031074</w:t>
            </w:r>
          </w:p>
        </w:tc>
      </w:tr>
      <w:tr w14:paraId="119B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restart"/>
            <w:tcBorders>
              <w:tl2br w:val="nil"/>
              <w:tr2bl w:val="nil"/>
            </w:tcBorders>
            <w:shd w:val="clear" w:color="auto" w:fill="auto"/>
            <w:vAlign w:val="center"/>
          </w:tcPr>
          <w:p w14:paraId="465FF4E1">
            <w:pPr>
              <w:pStyle w:val="16"/>
            </w:pPr>
            <w:r>
              <w:t>项目组成员</w:t>
            </w:r>
          </w:p>
        </w:tc>
        <w:tc>
          <w:tcPr>
            <w:tcW w:w="1820" w:type="dxa"/>
            <w:tcBorders>
              <w:tl2br w:val="nil"/>
              <w:tr2bl w:val="nil"/>
            </w:tcBorders>
            <w:shd w:val="clear" w:color="auto" w:fill="auto"/>
            <w:vAlign w:val="center"/>
          </w:tcPr>
          <w:p w14:paraId="6A422611">
            <w:pPr>
              <w:pStyle w:val="16"/>
            </w:pPr>
            <w:r>
              <w:rPr>
                <w:rFonts w:hint="eastAsia"/>
              </w:rPr>
              <w:t>李春燕</w:t>
            </w:r>
          </w:p>
        </w:tc>
        <w:tc>
          <w:tcPr>
            <w:tcW w:w="3864" w:type="dxa"/>
            <w:tcBorders>
              <w:tl2br w:val="nil"/>
              <w:tr2bl w:val="nil"/>
            </w:tcBorders>
            <w:shd w:val="clear" w:color="auto" w:fill="auto"/>
            <w:vAlign w:val="center"/>
          </w:tcPr>
          <w:p w14:paraId="06BB3B36">
            <w:pPr>
              <w:pStyle w:val="16"/>
            </w:pPr>
            <w:r>
              <w:t>S011011000110202000401</w:t>
            </w:r>
          </w:p>
        </w:tc>
        <w:tc>
          <w:tcPr>
            <w:tcW w:w="1897" w:type="dxa"/>
            <w:tcBorders>
              <w:tl2br w:val="nil"/>
              <w:tr2bl w:val="nil"/>
            </w:tcBorders>
            <w:shd w:val="clear" w:color="auto" w:fill="auto"/>
            <w:vAlign w:val="center"/>
          </w:tcPr>
          <w:p w14:paraId="57DB42B5">
            <w:pPr>
              <w:pStyle w:val="16"/>
            </w:pPr>
            <w:r>
              <w:t>040642</w:t>
            </w:r>
          </w:p>
        </w:tc>
      </w:tr>
      <w:tr w14:paraId="7839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04627326">
            <w:pPr>
              <w:pStyle w:val="16"/>
            </w:pPr>
          </w:p>
        </w:tc>
        <w:tc>
          <w:tcPr>
            <w:tcW w:w="1820" w:type="dxa"/>
            <w:tcBorders>
              <w:tl2br w:val="nil"/>
              <w:tr2bl w:val="nil"/>
            </w:tcBorders>
            <w:shd w:val="clear" w:color="auto" w:fill="auto"/>
            <w:vAlign w:val="center"/>
          </w:tcPr>
          <w:p w14:paraId="4FE82563">
            <w:pPr>
              <w:pStyle w:val="16"/>
            </w:pPr>
            <w:r>
              <w:rPr>
                <w:rFonts w:hint="eastAsia"/>
              </w:rPr>
              <w:t>韦根远</w:t>
            </w:r>
          </w:p>
        </w:tc>
        <w:tc>
          <w:tcPr>
            <w:tcW w:w="3864" w:type="dxa"/>
            <w:tcBorders>
              <w:tl2br w:val="nil"/>
              <w:tr2bl w:val="nil"/>
            </w:tcBorders>
            <w:shd w:val="clear" w:color="auto" w:fill="auto"/>
            <w:vAlign w:val="center"/>
          </w:tcPr>
          <w:p w14:paraId="17EF23BB">
            <w:pPr>
              <w:pStyle w:val="16"/>
            </w:pPr>
            <w:r>
              <w:rPr>
                <w:rFonts w:hint="eastAsia"/>
              </w:rPr>
              <w:t>S011044000110191001083</w:t>
            </w:r>
          </w:p>
        </w:tc>
        <w:tc>
          <w:tcPr>
            <w:tcW w:w="1897" w:type="dxa"/>
            <w:tcBorders>
              <w:tl2br w:val="nil"/>
              <w:tr2bl w:val="nil"/>
            </w:tcBorders>
            <w:shd w:val="clear" w:color="auto" w:fill="auto"/>
            <w:vAlign w:val="center"/>
          </w:tcPr>
          <w:p w14:paraId="4C3A6B77">
            <w:pPr>
              <w:pStyle w:val="16"/>
            </w:pPr>
            <w:r>
              <w:rPr>
                <w:rFonts w:hint="eastAsia"/>
              </w:rPr>
              <w:t>028179</w:t>
            </w:r>
          </w:p>
        </w:tc>
      </w:tr>
      <w:tr w14:paraId="735D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51E40788">
            <w:pPr>
              <w:pStyle w:val="16"/>
            </w:pPr>
          </w:p>
        </w:tc>
        <w:tc>
          <w:tcPr>
            <w:tcW w:w="1820" w:type="dxa"/>
            <w:tcBorders>
              <w:tl2br w:val="nil"/>
              <w:tr2bl w:val="nil"/>
            </w:tcBorders>
            <w:shd w:val="clear" w:color="auto" w:fill="auto"/>
            <w:vAlign w:val="center"/>
          </w:tcPr>
          <w:p w14:paraId="3401C858">
            <w:pPr>
              <w:pStyle w:val="16"/>
            </w:pPr>
            <w:r>
              <w:rPr>
                <w:rFonts w:hint="eastAsia"/>
              </w:rPr>
              <w:t>张晋慧</w:t>
            </w:r>
          </w:p>
        </w:tc>
        <w:tc>
          <w:tcPr>
            <w:tcW w:w="3864" w:type="dxa"/>
            <w:tcBorders>
              <w:tl2br w:val="nil"/>
              <w:tr2bl w:val="nil"/>
            </w:tcBorders>
            <w:shd w:val="clear" w:color="auto" w:fill="auto"/>
            <w:vAlign w:val="center"/>
          </w:tcPr>
          <w:p w14:paraId="436FACF0">
            <w:pPr>
              <w:pStyle w:val="16"/>
            </w:pPr>
            <w:r>
              <w:t>1100000000302946</w:t>
            </w:r>
          </w:p>
        </w:tc>
        <w:tc>
          <w:tcPr>
            <w:tcW w:w="1897" w:type="dxa"/>
            <w:tcBorders>
              <w:tl2br w:val="nil"/>
              <w:tr2bl w:val="nil"/>
            </w:tcBorders>
            <w:shd w:val="clear" w:color="auto" w:fill="auto"/>
            <w:vAlign w:val="center"/>
          </w:tcPr>
          <w:p w14:paraId="2E4A4C47">
            <w:pPr>
              <w:pStyle w:val="16"/>
            </w:pPr>
            <w:r>
              <w:t>020045</w:t>
            </w:r>
          </w:p>
        </w:tc>
      </w:tr>
      <w:tr w14:paraId="5CCF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55820F76">
            <w:pPr>
              <w:pStyle w:val="16"/>
            </w:pPr>
          </w:p>
        </w:tc>
        <w:tc>
          <w:tcPr>
            <w:tcW w:w="1820" w:type="dxa"/>
            <w:tcBorders>
              <w:tl2br w:val="nil"/>
              <w:tr2bl w:val="nil"/>
            </w:tcBorders>
            <w:shd w:val="clear" w:color="auto" w:fill="auto"/>
            <w:vAlign w:val="center"/>
          </w:tcPr>
          <w:p w14:paraId="799812C8">
            <w:pPr>
              <w:pStyle w:val="16"/>
            </w:pPr>
            <w:r>
              <w:rPr>
                <w:rFonts w:hint="eastAsia"/>
              </w:rPr>
              <w:t>陈武斌</w:t>
            </w:r>
          </w:p>
        </w:tc>
        <w:tc>
          <w:tcPr>
            <w:tcW w:w="3864" w:type="dxa"/>
            <w:tcBorders>
              <w:tl2br w:val="nil"/>
              <w:tr2bl w:val="nil"/>
            </w:tcBorders>
            <w:shd w:val="clear" w:color="auto" w:fill="auto"/>
            <w:vAlign w:val="center"/>
          </w:tcPr>
          <w:p w14:paraId="5A157898">
            <w:pPr>
              <w:pStyle w:val="16"/>
            </w:pPr>
            <w:r>
              <w:rPr>
                <w:rFonts w:hint="eastAsia"/>
              </w:rPr>
              <w:t>1100000000300371</w:t>
            </w:r>
          </w:p>
        </w:tc>
        <w:tc>
          <w:tcPr>
            <w:tcW w:w="1897" w:type="dxa"/>
            <w:tcBorders>
              <w:tl2br w:val="nil"/>
              <w:tr2bl w:val="nil"/>
            </w:tcBorders>
            <w:shd w:val="clear" w:color="auto" w:fill="auto"/>
            <w:vAlign w:val="center"/>
          </w:tcPr>
          <w:p w14:paraId="04C03577">
            <w:pPr>
              <w:pStyle w:val="16"/>
            </w:pPr>
            <w:r>
              <w:rPr>
                <w:rFonts w:hint="eastAsia"/>
              </w:rPr>
              <w:t>019967</w:t>
            </w:r>
          </w:p>
        </w:tc>
      </w:tr>
      <w:tr w14:paraId="2B6F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2ADE91E7">
            <w:pPr>
              <w:pStyle w:val="16"/>
            </w:pPr>
            <w:r>
              <w:t>技术专家</w:t>
            </w:r>
          </w:p>
        </w:tc>
        <w:tc>
          <w:tcPr>
            <w:tcW w:w="7581" w:type="dxa"/>
            <w:gridSpan w:val="3"/>
            <w:tcBorders>
              <w:tl2br w:val="nil"/>
              <w:tr2bl w:val="nil"/>
            </w:tcBorders>
            <w:shd w:val="clear" w:color="auto" w:fill="auto"/>
            <w:vAlign w:val="center"/>
          </w:tcPr>
          <w:p w14:paraId="37900729">
            <w:pPr>
              <w:pStyle w:val="16"/>
            </w:pPr>
            <w:r>
              <w:t>/</w:t>
            </w:r>
          </w:p>
        </w:tc>
      </w:tr>
      <w:tr w14:paraId="6AE0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713D4061">
            <w:pPr>
              <w:pStyle w:val="16"/>
            </w:pPr>
            <w:r>
              <w:t>现场勘察人员及时间</w:t>
            </w:r>
          </w:p>
        </w:tc>
        <w:tc>
          <w:tcPr>
            <w:tcW w:w="7581" w:type="dxa"/>
            <w:gridSpan w:val="3"/>
            <w:tcBorders>
              <w:tl2br w:val="nil"/>
              <w:tr2bl w:val="nil"/>
            </w:tcBorders>
            <w:shd w:val="clear" w:color="auto" w:fill="auto"/>
            <w:vAlign w:val="center"/>
          </w:tcPr>
          <w:p w14:paraId="55DBC34C">
            <w:pPr>
              <w:pStyle w:val="16"/>
            </w:pPr>
            <w:r>
              <w:rPr>
                <w:rFonts w:hint="eastAsia"/>
              </w:rPr>
              <w:t>塔娜、李春燕</w:t>
            </w:r>
            <w:r>
              <w:t>202</w:t>
            </w:r>
            <w:r>
              <w:rPr>
                <w:rFonts w:hint="eastAsia"/>
              </w:rPr>
              <w:t>4.4.23</w:t>
            </w:r>
          </w:p>
        </w:tc>
      </w:tr>
      <w:tr w14:paraId="0937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30E2186F">
            <w:pPr>
              <w:pStyle w:val="16"/>
            </w:pPr>
            <w:r>
              <w:rPr>
                <w:rFonts w:hint="eastAsia"/>
              </w:rPr>
              <w:t>现场核查的人员和时间</w:t>
            </w:r>
          </w:p>
        </w:tc>
        <w:tc>
          <w:tcPr>
            <w:tcW w:w="7581" w:type="dxa"/>
            <w:gridSpan w:val="3"/>
            <w:tcBorders>
              <w:tl2br w:val="nil"/>
              <w:tr2bl w:val="nil"/>
            </w:tcBorders>
            <w:shd w:val="clear" w:color="auto" w:fill="auto"/>
            <w:vAlign w:val="center"/>
          </w:tcPr>
          <w:p w14:paraId="6CD02C12">
            <w:pPr>
              <w:pStyle w:val="16"/>
            </w:pPr>
            <w:r>
              <w:rPr>
                <w:rFonts w:hint="eastAsia"/>
              </w:rPr>
              <w:t>塔娜、李春燕2</w:t>
            </w:r>
            <w:r>
              <w:t>02</w:t>
            </w:r>
            <w:r>
              <w:rPr>
                <w:rFonts w:hint="eastAsia"/>
              </w:rPr>
              <w:t>4</w:t>
            </w:r>
            <w:r>
              <w:t>.</w:t>
            </w:r>
            <w:r>
              <w:rPr>
                <w:rFonts w:hint="eastAsia"/>
              </w:rPr>
              <w:t>5</w:t>
            </w:r>
            <w:r>
              <w:t>.</w:t>
            </w:r>
            <w:r>
              <w:rPr>
                <w:rFonts w:hint="eastAsia"/>
              </w:rPr>
              <w:t>17</w:t>
            </w:r>
          </w:p>
        </w:tc>
      </w:tr>
      <w:tr w14:paraId="2AFA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3371D7CF">
            <w:pPr>
              <w:pStyle w:val="16"/>
            </w:pPr>
            <w:r>
              <w:t>项目简介</w:t>
            </w:r>
          </w:p>
        </w:tc>
        <w:tc>
          <w:tcPr>
            <w:tcW w:w="7581" w:type="dxa"/>
            <w:gridSpan w:val="3"/>
            <w:tcBorders>
              <w:tl2br w:val="nil"/>
              <w:tr2bl w:val="nil"/>
            </w:tcBorders>
            <w:shd w:val="clear" w:color="auto" w:fill="auto"/>
          </w:tcPr>
          <w:p w14:paraId="3170FA44">
            <w:pPr>
              <w:pStyle w:val="16"/>
              <w:ind w:firstLine="480" w:firstLineChars="200"/>
            </w:pPr>
            <w:r>
              <w:rPr>
                <w:rFonts w:hint="eastAsia"/>
              </w:rPr>
              <w:t>空气化工产品（呼和浩特）有限公司位于内蒙古呼和浩特托清经济开发区托克托产业园内，该公司2022年10月投资建设大型气体岛项目，该项目包括空分装置、气化装置、净化装置（变换装置、低温甲醇洗装置、冷冻站）及相关配套设施，生产液氧、液氮、合成气等。采用粉煤气化工艺生产粗煤气，经洗涤除尘后进行部分等温变换，变换采用耐硫变换技术；变换气、部分变换气和未变换气回收热量后分别进入低温甲醇洗1#洗涤塔、2#洗涤塔、3#洗涤塔，低温甲醇洗采用三吸收单再生的工艺流程。</w:t>
            </w:r>
          </w:p>
          <w:p w14:paraId="563DC2EA">
            <w:pPr>
              <w:pStyle w:val="16"/>
              <w:ind w:firstLine="480" w:firstLineChars="200"/>
            </w:pPr>
            <w:r>
              <w:rPr>
                <w:rFonts w:hint="eastAsia"/>
              </w:rPr>
              <w:t>由于大型气体岛项目低温甲醇洗装置区内原1台绕管式换热器（立式）经投用后，发现可能存在稳定性差的问题，经技术评估后更换为3组（6台）管壳式换热器（卧式），本项目对热再生塔加热器进行更换升级，可有效保障安全生产。</w:t>
            </w:r>
          </w:p>
          <w:p w14:paraId="1A6B7E66">
            <w:pPr>
              <w:pStyle w:val="16"/>
              <w:ind w:firstLine="480" w:firstLineChars="200"/>
            </w:pPr>
            <w:r>
              <w:rPr>
                <w:rFonts w:hint="eastAsia"/>
              </w:rPr>
              <w:t>该项目拟对原空气化工产品（呼和浩特）有限公司大型气体岛项目低温甲醇洗装置单元中的1台绕管式热再生塔加热器（位号16E0010）进行设备升级，替换为6台管壳式热再生塔加热器，满足全厂稳定运行的需求。</w:t>
            </w:r>
          </w:p>
          <w:p w14:paraId="28DCDE68">
            <w:pPr>
              <w:pStyle w:val="16"/>
              <w:ind w:firstLine="480" w:firstLineChars="200"/>
            </w:pPr>
            <w:r>
              <w:rPr>
                <w:rFonts w:hint="eastAsia"/>
              </w:rPr>
              <w:t>厂区原有大型气体岛其他装置均不在评价范围之内。</w:t>
            </w:r>
          </w:p>
          <w:p w14:paraId="3C4CFCF8">
            <w:pPr>
              <w:pStyle w:val="16"/>
              <w:ind w:firstLine="480" w:firstLineChars="200"/>
            </w:pPr>
            <w:r>
              <w:rPr>
                <w:rFonts w:hint="eastAsia"/>
              </w:rPr>
              <w:t>本项目已于2024年4月24日取得托克托县发展和改革委员会《项目备案告知书》（项目代码：2404-150122-04-02-676470），本项目符合产业政策和市场准入标准，准予备案。</w:t>
            </w:r>
          </w:p>
          <w:p w14:paraId="709190FB">
            <w:pPr>
              <w:pStyle w:val="16"/>
              <w:ind w:firstLine="480" w:firstLineChars="200"/>
            </w:pPr>
            <w:r>
              <w:rPr>
                <w:rFonts w:hint="eastAsia"/>
              </w:rPr>
              <w:t>本项目生产过程中使用的介质甲醇被列入了《危险化学品目录》（2015版，应急管理部等十部门2022年8号公告修改）中，属于危险化学品。</w:t>
            </w:r>
          </w:p>
          <w:p w14:paraId="1B73D3B0">
            <w:pPr>
              <w:pStyle w:val="16"/>
              <w:ind w:firstLine="480" w:firstLineChars="200"/>
            </w:pPr>
            <w:r>
              <w:rPr>
                <w:rFonts w:hint="eastAsia"/>
              </w:rPr>
              <w:t>根据《国家安全监管总局关于公布首批重点监管的危险化学品名录的通知》（安监总管三[2011]95号）公布的《首批重点监管的危险化学品名录》、《国家安全监管总局关于公布第二批重点监管危险化学品名录的通知》（安监总管三[2013]12号），对照本项目涉及的介质甲醇属于首批重点监管的危险化学品。</w:t>
            </w:r>
          </w:p>
          <w:p w14:paraId="458CCCFF">
            <w:pPr>
              <w:pStyle w:val="16"/>
              <w:ind w:firstLine="480" w:firstLineChars="200"/>
            </w:pPr>
            <w:r>
              <w:rPr>
                <w:rFonts w:hint="eastAsia"/>
              </w:rPr>
              <w:t>根据《特别管控危险化学品目录（第一版）》（应急管理部、工业和信息化部、公安部、交通运输部公告[2020]第3号）辨识，甲醇属于特别管控危险化学品。</w:t>
            </w:r>
          </w:p>
          <w:p w14:paraId="45A1261B">
            <w:pPr>
              <w:pStyle w:val="16"/>
              <w:ind w:firstLine="480" w:firstLineChars="200"/>
            </w:pPr>
            <w:r>
              <w:rPr>
                <w:rFonts w:hint="eastAsia"/>
              </w:rPr>
              <w:t>本项目潜在的主要危险、有害因素有火灾爆炸（包括物理爆炸）、中毒窒息、高温灼烫、高处坠落、物体打击、坍塌等。火灾、爆炸（包括物理爆炸）的危险等级为Ⅲ~IV，中毒窒息的危险等级为Ⅱ～Ⅲ级，其余的为Ⅱ级。</w:t>
            </w:r>
          </w:p>
          <w:p w14:paraId="523FC0FC">
            <w:pPr>
              <w:pStyle w:val="16"/>
              <w:ind w:firstLine="480" w:firstLineChars="200"/>
            </w:pPr>
            <w:r>
              <w:rPr>
                <w:rFonts w:hint="eastAsia"/>
              </w:rPr>
              <w:t>依据《首批重点监管的危险化工工艺目录的通知》（安监总管三[2009]116号）和《国家安全监管总局关于公布第二批重点监管危险化工工艺目录和调整首批重点监管危险化工工艺中部分典型工艺的通知》（安监总管三[2013]3号），本项目不涉及重点监管的危险化工工艺。</w:t>
            </w:r>
          </w:p>
          <w:p w14:paraId="72DB61F4">
            <w:pPr>
              <w:pStyle w:val="16"/>
              <w:ind w:firstLine="480" w:firstLineChars="200"/>
            </w:pPr>
            <w:r>
              <w:rPr>
                <w:rFonts w:hint="eastAsia"/>
              </w:rPr>
              <w:t>依据《危险化学品重大危险源辨识》（GB18218-2018）的规定，本项目不构成危险化学品重大危险源。</w:t>
            </w:r>
          </w:p>
          <w:p w14:paraId="6549C8BF">
            <w:pPr>
              <w:pStyle w:val="16"/>
              <w:ind w:firstLine="560"/>
            </w:pPr>
            <w:r>
              <w:rPr>
                <w:rFonts w:hint="eastAsia"/>
              </w:rPr>
              <w:t>本项目总平面布置充分考虑厂区原有建筑分区及相互影响，同时考虑卫生、施工及检修等要求。工艺流程顺畅，工艺管线短捷；厂区建筑物、构筑物规整，道路宽度符合要求；厂区内各装置之间的距离大部分满足防火、防爆、安全、卫生等标准规范的要求，总平面布置符合《石油化工企业设计防火标准[2018年版]》（GB50160-2008）的要求。</w:t>
            </w:r>
          </w:p>
          <w:p w14:paraId="5AA73202">
            <w:pPr>
              <w:pStyle w:val="16"/>
              <w:ind w:firstLine="560"/>
            </w:pPr>
            <w:r>
              <w:rPr>
                <w:rFonts w:hint="eastAsia"/>
              </w:rPr>
              <w:t>本项目所采用工艺均为目前工业上普遍采取的工艺技术，安全可靠。</w:t>
            </w:r>
          </w:p>
          <w:p w14:paraId="5B3662C6">
            <w:pPr>
              <w:pStyle w:val="16"/>
              <w:ind w:firstLine="560"/>
            </w:pPr>
            <w:r>
              <w:rPr>
                <w:rFonts w:hint="eastAsia"/>
              </w:rPr>
              <w:t>本项目新增工艺监控点位进原工厂DCS系统，结合工艺监控要求对系统进行组态，可保证设备、设施的安全可靠性。</w:t>
            </w:r>
          </w:p>
          <w:p w14:paraId="50781CEC">
            <w:pPr>
              <w:pStyle w:val="16"/>
              <w:ind w:firstLine="560"/>
            </w:pPr>
            <w:r>
              <w:rPr>
                <w:rFonts w:hint="eastAsia"/>
              </w:rPr>
              <w:t>综上所述，空气化工产品（呼和浩特）有限公司热再生塔加热器升级项目在落实可行性研究报告及本报告提出的安全对策、措施后，风险是可以接受的，从安全生产角度符合《中华人民共和国安全生产法》（国家主席令[2021]第88号令）、《危险化学品建设项目安全监督管理办法》（国家安全生产监督管理总局令[2012]第45号，国家安全监管总局令第79号修正）、《危险化学品生产建设项目安全风险防控指南（试行）》（应急[2022]52号）等国家现行有关安全生产法律、行政法规、部门规章和标准、规范的相关要求。</w:t>
            </w:r>
          </w:p>
        </w:tc>
      </w:tr>
      <w:tr w14:paraId="59A2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622137B4">
            <w:pPr>
              <w:pStyle w:val="16"/>
              <w:jc w:val="center"/>
            </w:pPr>
            <w:r>
              <w:t>现场照片</w:t>
            </w:r>
          </w:p>
        </w:tc>
        <w:tc>
          <w:tcPr>
            <w:tcW w:w="7581" w:type="dxa"/>
            <w:gridSpan w:val="3"/>
            <w:tcBorders>
              <w:tl2br w:val="nil"/>
              <w:tr2bl w:val="nil"/>
            </w:tcBorders>
            <w:shd w:val="clear" w:color="auto" w:fill="auto"/>
          </w:tcPr>
          <w:p w14:paraId="2F62DABE">
            <w:pPr>
              <w:pStyle w:val="12"/>
              <w:snapToGrid w:val="0"/>
              <w:ind w:firstLine="0" w:firstLineChars="0"/>
              <w:jc w:val="both"/>
              <w:rPr>
                <w:sz w:val="21"/>
                <w:szCs w:val="21"/>
              </w:rPr>
            </w:pPr>
            <w:r>
              <w:drawing>
                <wp:inline distT="0" distB="0" distL="0" distR="0">
                  <wp:extent cx="2531110" cy="1816735"/>
                  <wp:effectExtent l="0" t="0" r="2540" b="12065"/>
                  <wp:docPr id="1283101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01916" name="图片 1"/>
                          <pic:cNvPicPr>
                            <a:picLocks noChangeAspect="1" noChangeArrowheads="1"/>
                          </pic:cNvPicPr>
                        </pic:nvPicPr>
                        <pic:blipFill>
                          <a:blip r:embed="rId11"/>
                          <a:srcRect/>
                          <a:stretch>
                            <a:fillRect/>
                          </a:stretch>
                        </pic:blipFill>
                        <pic:spPr>
                          <a:xfrm>
                            <a:off x="0" y="0"/>
                            <a:ext cx="2531110" cy="1822132"/>
                          </a:xfrm>
                          <a:prstGeom prst="rect">
                            <a:avLst/>
                          </a:prstGeom>
                          <a:noFill/>
                          <a:ln>
                            <a:noFill/>
                          </a:ln>
                        </pic:spPr>
                      </pic:pic>
                    </a:graphicData>
                  </a:graphic>
                </wp:inline>
              </w:drawing>
            </w:r>
            <w:r>
              <w:drawing>
                <wp:inline distT="0" distB="0" distL="0" distR="0">
                  <wp:extent cx="2244725" cy="2037715"/>
                  <wp:effectExtent l="0" t="0" r="3175" b="635"/>
                  <wp:docPr id="11548952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95259" name="图片 2"/>
                          <pic:cNvPicPr>
                            <a:picLocks noChangeAspect="1" noChangeArrowheads="1"/>
                          </pic:cNvPicPr>
                        </pic:nvPicPr>
                        <pic:blipFill>
                          <a:blip r:embed="rId12"/>
                          <a:srcRect/>
                          <a:stretch>
                            <a:fillRect/>
                          </a:stretch>
                        </pic:blipFill>
                        <pic:spPr>
                          <a:xfrm>
                            <a:off x="0" y="0"/>
                            <a:ext cx="2254677" cy="2037715"/>
                          </a:xfrm>
                          <a:prstGeom prst="rect">
                            <a:avLst/>
                          </a:prstGeom>
                          <a:noFill/>
                          <a:ln>
                            <a:noFill/>
                          </a:ln>
                        </pic:spPr>
                      </pic:pic>
                    </a:graphicData>
                  </a:graphic>
                </wp:inline>
              </w:drawing>
            </w:r>
          </w:p>
          <w:p w14:paraId="7E6E8981">
            <w:pPr>
              <w:pStyle w:val="12"/>
              <w:snapToGrid w:val="0"/>
              <w:ind w:firstLine="0" w:firstLineChars="0"/>
              <w:jc w:val="both"/>
              <w:rPr>
                <w:sz w:val="21"/>
                <w:szCs w:val="21"/>
              </w:rPr>
            </w:pPr>
            <w:r>
              <w:drawing>
                <wp:inline distT="0" distB="0" distL="0" distR="0">
                  <wp:extent cx="2274570" cy="2332355"/>
                  <wp:effectExtent l="0" t="0" r="11430" b="10795"/>
                  <wp:docPr id="14437346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34634" name="图片 3"/>
                          <pic:cNvPicPr>
                            <a:picLocks noChangeAspect="1" noChangeArrowheads="1"/>
                          </pic:cNvPicPr>
                        </pic:nvPicPr>
                        <pic:blipFill>
                          <a:blip r:embed="rId13"/>
                          <a:srcRect/>
                          <a:stretch>
                            <a:fillRect/>
                          </a:stretch>
                        </pic:blipFill>
                        <pic:spPr>
                          <a:xfrm>
                            <a:off x="0" y="0"/>
                            <a:ext cx="2274570" cy="2340538"/>
                          </a:xfrm>
                          <a:prstGeom prst="rect">
                            <a:avLst/>
                          </a:prstGeom>
                          <a:noFill/>
                          <a:ln>
                            <a:noFill/>
                          </a:ln>
                        </pic:spPr>
                      </pic:pic>
                    </a:graphicData>
                  </a:graphic>
                </wp:inline>
              </w:drawing>
            </w:r>
            <w:r>
              <w:drawing>
                <wp:inline distT="0" distB="0" distL="0" distR="0">
                  <wp:extent cx="2496820" cy="2327910"/>
                  <wp:effectExtent l="0" t="0" r="17780" b="15240"/>
                  <wp:docPr id="16099751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75164" name="图片 4"/>
                          <pic:cNvPicPr>
                            <a:picLocks noChangeAspect="1" noChangeArrowheads="1"/>
                          </pic:cNvPicPr>
                        </pic:nvPicPr>
                        <pic:blipFill>
                          <a:blip r:embed="rId14"/>
                          <a:srcRect/>
                          <a:stretch>
                            <a:fillRect/>
                          </a:stretch>
                        </pic:blipFill>
                        <pic:spPr>
                          <a:xfrm>
                            <a:off x="0" y="0"/>
                            <a:ext cx="2509930" cy="2327910"/>
                          </a:xfrm>
                          <a:prstGeom prst="rect">
                            <a:avLst/>
                          </a:prstGeom>
                          <a:noFill/>
                          <a:ln>
                            <a:noFill/>
                          </a:ln>
                        </pic:spPr>
                      </pic:pic>
                    </a:graphicData>
                  </a:graphic>
                </wp:inline>
              </w:drawing>
            </w:r>
          </w:p>
          <w:p w14:paraId="719E1BF0">
            <w:pPr>
              <w:pStyle w:val="12"/>
              <w:snapToGrid w:val="0"/>
              <w:ind w:firstLine="0" w:firstLineChars="0"/>
              <w:jc w:val="both"/>
              <w:rPr>
                <w:sz w:val="21"/>
                <w:szCs w:val="21"/>
              </w:rPr>
            </w:pPr>
            <w:r>
              <w:drawing>
                <wp:inline distT="0" distB="0" distL="0" distR="0">
                  <wp:extent cx="2422525" cy="1828800"/>
                  <wp:effectExtent l="0" t="0" r="15875" b="0"/>
                  <wp:docPr id="150646623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66236" name="图片 5"/>
                          <pic:cNvPicPr>
                            <a:picLocks noChangeAspect="1" noChangeArrowheads="1"/>
                          </pic:cNvPicPr>
                        </pic:nvPicPr>
                        <pic:blipFill>
                          <a:blip r:embed="rId15"/>
                          <a:srcRect/>
                          <a:stretch>
                            <a:fillRect/>
                          </a:stretch>
                        </pic:blipFill>
                        <pic:spPr>
                          <a:xfrm>
                            <a:off x="0" y="0"/>
                            <a:ext cx="2422525" cy="1829796"/>
                          </a:xfrm>
                          <a:prstGeom prst="rect">
                            <a:avLst/>
                          </a:prstGeom>
                          <a:noFill/>
                          <a:ln>
                            <a:noFill/>
                          </a:ln>
                        </pic:spPr>
                      </pic:pic>
                    </a:graphicData>
                  </a:graphic>
                </wp:inline>
              </w:drawing>
            </w:r>
            <w:r>
              <w:drawing>
                <wp:inline distT="0" distB="0" distL="0" distR="0">
                  <wp:extent cx="2385060" cy="1791335"/>
                  <wp:effectExtent l="0" t="0" r="15240" b="18415"/>
                  <wp:docPr id="50233937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39371" name="图片 6"/>
                          <pic:cNvPicPr>
                            <a:picLocks noChangeAspect="1" noChangeArrowheads="1"/>
                          </pic:cNvPicPr>
                        </pic:nvPicPr>
                        <pic:blipFill>
                          <a:blip r:embed="rId16"/>
                          <a:srcRect/>
                          <a:stretch>
                            <a:fillRect/>
                          </a:stretch>
                        </pic:blipFill>
                        <pic:spPr>
                          <a:xfrm>
                            <a:off x="0" y="0"/>
                            <a:ext cx="2385060" cy="1793245"/>
                          </a:xfrm>
                          <a:prstGeom prst="rect">
                            <a:avLst/>
                          </a:prstGeom>
                          <a:noFill/>
                          <a:ln>
                            <a:noFill/>
                          </a:ln>
                        </pic:spPr>
                      </pic:pic>
                    </a:graphicData>
                  </a:graphic>
                </wp:inline>
              </w:drawing>
            </w:r>
          </w:p>
        </w:tc>
      </w:tr>
      <w:tr w14:paraId="757F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50C4E890">
            <w:pPr>
              <w:pStyle w:val="16"/>
            </w:pPr>
            <w:r>
              <w:t>被评价单位信息反馈情况</w:t>
            </w:r>
          </w:p>
        </w:tc>
        <w:tc>
          <w:tcPr>
            <w:tcW w:w="7581" w:type="dxa"/>
            <w:gridSpan w:val="3"/>
            <w:tcBorders>
              <w:tl2br w:val="nil"/>
              <w:tr2bl w:val="nil"/>
            </w:tcBorders>
            <w:shd w:val="clear" w:color="auto" w:fill="auto"/>
            <w:vAlign w:val="center"/>
          </w:tcPr>
          <w:p w14:paraId="2D1ABAE0">
            <w:pPr>
              <w:pStyle w:val="16"/>
              <w:ind w:firstLine="560"/>
            </w:pPr>
            <w:r>
              <w:rPr>
                <w:rFonts w:hint="eastAsia"/>
              </w:rPr>
              <w:t>满意</w:t>
            </w:r>
          </w:p>
        </w:tc>
      </w:tr>
    </w:tbl>
    <w:p w14:paraId="409331A1">
      <w:pPr>
        <w:pStyle w:val="2"/>
        <w:ind w:firstLine="0"/>
      </w:pPr>
    </w:p>
    <w:p w14:paraId="2984D897">
      <w:pPr>
        <w:pStyle w:val="2"/>
        <w:ind w:firstLine="0"/>
        <w:rPr>
          <w:rFonts w:hint="eastAsia"/>
        </w:rPr>
      </w:pPr>
    </w:p>
    <w:sectPr>
      <w:footerReference r:id="rId3" w:type="default"/>
      <w:pgSz w:w="11906" w:h="16838"/>
      <w:pgMar w:top="141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54F9B">
    <w:pPr>
      <w:pStyle w:val="8"/>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zZDM1ZmJiMDFhOGI2ZDhiOGRlMWVjNDU0MDc0YTgifQ=="/>
  </w:docVars>
  <w:rsids>
    <w:rsidRoot w:val="00E3751A"/>
    <w:rsid w:val="000205A2"/>
    <w:rsid w:val="00047227"/>
    <w:rsid w:val="00073BC9"/>
    <w:rsid w:val="000D4DD4"/>
    <w:rsid w:val="000F7E66"/>
    <w:rsid w:val="00111E50"/>
    <w:rsid w:val="001337D2"/>
    <w:rsid w:val="00143434"/>
    <w:rsid w:val="001A044E"/>
    <w:rsid w:val="0020045D"/>
    <w:rsid w:val="00201A31"/>
    <w:rsid w:val="00222064"/>
    <w:rsid w:val="00223E1A"/>
    <w:rsid w:val="002C5D35"/>
    <w:rsid w:val="002D4017"/>
    <w:rsid w:val="002F13B4"/>
    <w:rsid w:val="00302140"/>
    <w:rsid w:val="00303C12"/>
    <w:rsid w:val="00317533"/>
    <w:rsid w:val="003404F7"/>
    <w:rsid w:val="00383879"/>
    <w:rsid w:val="003D1FFE"/>
    <w:rsid w:val="00433458"/>
    <w:rsid w:val="00476AFD"/>
    <w:rsid w:val="0048538C"/>
    <w:rsid w:val="004D1AF7"/>
    <w:rsid w:val="00542263"/>
    <w:rsid w:val="005579AD"/>
    <w:rsid w:val="00567208"/>
    <w:rsid w:val="005932A1"/>
    <w:rsid w:val="005C100C"/>
    <w:rsid w:val="005D27E1"/>
    <w:rsid w:val="00621954"/>
    <w:rsid w:val="00646839"/>
    <w:rsid w:val="006500D2"/>
    <w:rsid w:val="006541E9"/>
    <w:rsid w:val="00674F23"/>
    <w:rsid w:val="006C4417"/>
    <w:rsid w:val="007169CC"/>
    <w:rsid w:val="00732DE3"/>
    <w:rsid w:val="00756850"/>
    <w:rsid w:val="007C5297"/>
    <w:rsid w:val="007E4B17"/>
    <w:rsid w:val="007F66C8"/>
    <w:rsid w:val="0080265E"/>
    <w:rsid w:val="00822206"/>
    <w:rsid w:val="0085093D"/>
    <w:rsid w:val="00856F1C"/>
    <w:rsid w:val="00870A5F"/>
    <w:rsid w:val="00872381"/>
    <w:rsid w:val="00874279"/>
    <w:rsid w:val="00874B0B"/>
    <w:rsid w:val="00893835"/>
    <w:rsid w:val="008D7E03"/>
    <w:rsid w:val="008F5EAC"/>
    <w:rsid w:val="009578C6"/>
    <w:rsid w:val="009D04A6"/>
    <w:rsid w:val="00A1008F"/>
    <w:rsid w:val="00A12747"/>
    <w:rsid w:val="00A56C32"/>
    <w:rsid w:val="00AD20C5"/>
    <w:rsid w:val="00AD5018"/>
    <w:rsid w:val="00AE4E05"/>
    <w:rsid w:val="00B461F4"/>
    <w:rsid w:val="00B61870"/>
    <w:rsid w:val="00B66EC5"/>
    <w:rsid w:val="00C75118"/>
    <w:rsid w:val="00C82162"/>
    <w:rsid w:val="00CA0273"/>
    <w:rsid w:val="00CA11EC"/>
    <w:rsid w:val="00CA3FC9"/>
    <w:rsid w:val="00CD3226"/>
    <w:rsid w:val="00CE374A"/>
    <w:rsid w:val="00CF2C7E"/>
    <w:rsid w:val="00D03CD3"/>
    <w:rsid w:val="00D5032F"/>
    <w:rsid w:val="00D7059A"/>
    <w:rsid w:val="00DA31FB"/>
    <w:rsid w:val="00E00301"/>
    <w:rsid w:val="00E0459D"/>
    <w:rsid w:val="00E3751A"/>
    <w:rsid w:val="00E71570"/>
    <w:rsid w:val="00E8365B"/>
    <w:rsid w:val="00E918CE"/>
    <w:rsid w:val="00F161F3"/>
    <w:rsid w:val="00F241B8"/>
    <w:rsid w:val="00F259D2"/>
    <w:rsid w:val="00F469F3"/>
    <w:rsid w:val="00F5504C"/>
    <w:rsid w:val="00F615FE"/>
    <w:rsid w:val="00FD5ED2"/>
    <w:rsid w:val="01381A2C"/>
    <w:rsid w:val="067C6F0E"/>
    <w:rsid w:val="06EF6353"/>
    <w:rsid w:val="07D32EB9"/>
    <w:rsid w:val="0A3600A6"/>
    <w:rsid w:val="0E53337E"/>
    <w:rsid w:val="17810296"/>
    <w:rsid w:val="17C601C4"/>
    <w:rsid w:val="188D103C"/>
    <w:rsid w:val="18CA2EBE"/>
    <w:rsid w:val="1B9F4DB7"/>
    <w:rsid w:val="1CD17A8D"/>
    <w:rsid w:val="1D7F5852"/>
    <w:rsid w:val="23356346"/>
    <w:rsid w:val="276E1EEA"/>
    <w:rsid w:val="29925FE1"/>
    <w:rsid w:val="29F53ECF"/>
    <w:rsid w:val="2E046C06"/>
    <w:rsid w:val="32CC6EE2"/>
    <w:rsid w:val="385C2AEB"/>
    <w:rsid w:val="3C7D28D5"/>
    <w:rsid w:val="41912F5E"/>
    <w:rsid w:val="42C53343"/>
    <w:rsid w:val="43C0308C"/>
    <w:rsid w:val="48EC5AF0"/>
    <w:rsid w:val="4A4609BD"/>
    <w:rsid w:val="4E3D5914"/>
    <w:rsid w:val="52E07D49"/>
    <w:rsid w:val="54345BD2"/>
    <w:rsid w:val="57800B40"/>
    <w:rsid w:val="5A435025"/>
    <w:rsid w:val="5BF832F3"/>
    <w:rsid w:val="60B460AF"/>
    <w:rsid w:val="658063A7"/>
    <w:rsid w:val="66C53C4A"/>
    <w:rsid w:val="67600A2D"/>
    <w:rsid w:val="6AA57F27"/>
    <w:rsid w:val="6BD4664B"/>
    <w:rsid w:val="6CB1098B"/>
    <w:rsid w:val="6D1139EB"/>
    <w:rsid w:val="6F3D1DEF"/>
    <w:rsid w:val="6F67290E"/>
    <w:rsid w:val="737D1DEA"/>
    <w:rsid w:val="73AA2228"/>
    <w:rsid w:val="75816D2C"/>
    <w:rsid w:val="76E25EB6"/>
    <w:rsid w:val="77832F9B"/>
    <w:rsid w:val="79302291"/>
    <w:rsid w:val="7AD10B53"/>
    <w:rsid w:val="7B914393"/>
    <w:rsid w:val="7C30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center"/>
    </w:pPr>
    <w:rPr>
      <w:rFonts w:ascii="Calibri" w:hAnsi="Calibri" w:eastAsia="宋体" w:cs="Times New Roman"/>
      <w:kern w:val="2"/>
      <w:sz w:val="28"/>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rFonts w:eastAsia="仿宋_GB2312"/>
      <w:kern w:val="0"/>
      <w:szCs w:val="20"/>
    </w:rPr>
  </w:style>
  <w:style w:type="paragraph" w:styleId="5">
    <w:name w:val="Body Text"/>
    <w:basedOn w:val="1"/>
    <w:qFormat/>
    <w:uiPriority w:val="99"/>
    <w:rPr>
      <w:szCs w:val="28"/>
    </w:rPr>
  </w:style>
  <w:style w:type="paragraph" w:styleId="6">
    <w:name w:val="Body Text Indent"/>
    <w:basedOn w:val="1"/>
    <w:next w:val="1"/>
    <w:unhideWhenUsed/>
    <w:qFormat/>
    <w:uiPriority w:val="99"/>
    <w:pPr>
      <w:spacing w:after="120"/>
      <w:ind w:left="420" w:leftChars="200"/>
    </w:pPr>
  </w:style>
  <w:style w:type="paragraph" w:styleId="7">
    <w:name w:val="Balloon Text"/>
    <w:basedOn w:val="1"/>
    <w:link w:val="21"/>
    <w:qFormat/>
    <w:uiPriority w:val="0"/>
    <w:rPr>
      <w:sz w:val="18"/>
      <w:szCs w:val="18"/>
    </w:rPr>
  </w:style>
  <w:style w:type="paragraph" w:styleId="8">
    <w:name w:val="footer"/>
    <w:basedOn w:val="1"/>
    <w:next w:val="9"/>
    <w:qFormat/>
    <w:uiPriority w:val="99"/>
    <w:pPr>
      <w:tabs>
        <w:tab w:val="center" w:pos="4153"/>
        <w:tab w:val="right" w:pos="8306"/>
      </w:tabs>
      <w:snapToGrid w:val="0"/>
    </w:pPr>
    <w:rPr>
      <w:sz w:val="18"/>
      <w:szCs w:val="18"/>
    </w:rPr>
  </w:style>
  <w:style w:type="paragraph" w:styleId="9">
    <w:name w:val="Normal (Web)"/>
    <w:basedOn w:val="1"/>
    <w:next w:val="10"/>
    <w:qFormat/>
    <w:uiPriority w:val="0"/>
    <w:pPr>
      <w:spacing w:before="100" w:beforeAutospacing="1" w:after="100" w:afterAutospacing="1"/>
      <w:jc w:val="left"/>
    </w:pPr>
    <w:rPr>
      <w:kern w:val="0"/>
      <w:sz w:val="24"/>
    </w:rPr>
  </w:style>
  <w:style w:type="paragraph" w:customStyle="1" w:styleId="10">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1">
    <w:name w:val="header"/>
    <w:basedOn w:val="1"/>
    <w:qFormat/>
    <w:uiPriority w:val="0"/>
    <w:pPr>
      <w:pBdr>
        <w:bottom w:val="single" w:color="auto" w:sz="6" w:space="1"/>
      </w:pBdr>
      <w:tabs>
        <w:tab w:val="center" w:pos="4153"/>
        <w:tab w:val="right" w:pos="8306"/>
      </w:tabs>
      <w:snapToGrid w:val="0"/>
    </w:pPr>
    <w:rPr>
      <w:sz w:val="18"/>
      <w:szCs w:val="18"/>
    </w:rPr>
  </w:style>
  <w:style w:type="paragraph" w:styleId="12">
    <w:name w:val="Body Text First Indent"/>
    <w:basedOn w:val="1"/>
    <w:qFormat/>
    <w:uiPriority w:val="0"/>
    <w:pPr>
      <w:spacing w:after="120"/>
      <w:ind w:firstLine="420" w:firstLineChars="100"/>
    </w:pPr>
  </w:style>
  <w:style w:type="paragraph" w:styleId="13">
    <w:name w:val="Body Text First Indent 2"/>
    <w:basedOn w:val="6"/>
    <w:next w:val="12"/>
    <w:unhideWhenUsed/>
    <w:qFormat/>
    <w:uiPriority w:val="99"/>
    <w:pPr>
      <w:ind w:firstLine="420" w:firstLineChars="200"/>
    </w:pPr>
  </w:style>
  <w:style w:type="paragraph" w:customStyle="1" w:styleId="16">
    <w:name w:val="表格"/>
    <w:basedOn w:val="1"/>
    <w:next w:val="1"/>
    <w:qFormat/>
    <w:uiPriority w:val="0"/>
    <w:pPr>
      <w:adjustRightInd w:val="0"/>
      <w:snapToGrid w:val="0"/>
      <w:jc w:val="both"/>
      <w:textAlignment w:val="baseline"/>
    </w:pPr>
    <w:rPr>
      <w:rFonts w:ascii="宋体" w:hAnsi="宋体"/>
      <w:kern w:val="0"/>
      <w:sz w:val="24"/>
      <w:szCs w:val="20"/>
    </w:rPr>
  </w:style>
  <w:style w:type="paragraph" w:customStyle="1" w:styleId="17">
    <w:name w:val="Default"/>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18">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1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p0"/>
    <w:basedOn w:val="1"/>
    <w:qFormat/>
    <w:uiPriority w:val="0"/>
    <w:pPr>
      <w:widowControl/>
    </w:pPr>
    <w:rPr>
      <w:kern w:val="0"/>
      <w:szCs w:val="21"/>
    </w:rPr>
  </w:style>
  <w:style w:type="character" w:customStyle="1" w:styleId="21">
    <w:name w:val="批注框文本 字符"/>
    <w:basedOn w:val="15"/>
    <w:link w:val="7"/>
    <w:qFormat/>
    <w:uiPriority w:val="0"/>
    <w:rPr>
      <w:rFonts w:ascii="Calibri" w:hAnsi="Calibri"/>
      <w:kern w:val="2"/>
      <w:sz w:val="18"/>
      <w:szCs w:val="18"/>
    </w:rPr>
  </w:style>
  <w:style w:type="paragraph" w:customStyle="1" w:styleId="22">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3074</Words>
  <Characters>3626</Characters>
  <Lines>26</Lines>
  <Paragraphs>7</Paragraphs>
  <TotalTime>0</TotalTime>
  <ScaleCrop>false</ScaleCrop>
  <LinksUpToDate>false</LinksUpToDate>
  <CharactersWithSpaces>3626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2024-09-13T07:25:42Z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3D417A7DA0144CEDA15801581E78EFE2</vt:lpwstr>
  </property>
</Properties>
</file>