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EAC95B">
      <w:pPr>
        <w:spacing w:before="156" w:line="317" w:lineRule="auto"/>
        <w:ind w:left="3628" w:leftChars="-155" w:hanging="3953" w:hangingChars="1422"/>
        <w:jc w:val="center"/>
        <w:outlineLvl w:val="0"/>
        <w:rPr>
          <w:rFonts w:hint="eastAsia" w:ascii="黑体" w:hAnsi="黑体" w:eastAsia="黑体" w:cs="黑体"/>
          <w:spacing w:val="-1"/>
          <w:sz w:val="28"/>
          <w:szCs w:val="28"/>
          <w:lang w:val="en-US" w:eastAsia="zh-CN"/>
        </w:rPr>
      </w:pPr>
      <w:r>
        <w:rPr>
          <w:rFonts w:hint="eastAsia" w:ascii="黑体" w:hAnsi="黑体" w:eastAsia="黑体" w:cs="黑体"/>
          <w:spacing w:val="-1"/>
          <w:sz w:val="28"/>
          <w:szCs w:val="28"/>
          <w:lang w:val="en-US" w:eastAsia="zh-CN"/>
        </w:rPr>
        <w:t>肥城市辉盛能源服务有限公司</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50A5A161">
            <w:pPr>
              <w:pStyle w:val="6"/>
              <w:spacing w:before="57" w:line="261" w:lineRule="auto"/>
              <w:ind w:right="318"/>
              <w:jc w:val="center"/>
            </w:pPr>
            <w:r>
              <w:rPr>
                <w:rFonts w:hint="eastAsia"/>
                <w:spacing w:val="9"/>
                <w:lang w:val="en-US" w:eastAsia="zh-CN"/>
              </w:rPr>
              <w:t>肥城市辉盛能源服务有限公司经营危险化学品现状评价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2DFB4C93">
            <w:pPr>
              <w:pStyle w:val="6"/>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eastAsia="zh-CN"/>
              </w:rPr>
              <w:t>该加油站主要建有站房、油罐区、加油区。加油区分别在站房北侧和东侧，共有12台加油机，其中8台双枪加油机，4台四枪加油机。因客流量较小，现仅有2台双枪柴油加油机和2台四枪汽油加油机在用，12台加油机均为潜油泵式；油罐区在站房西侧，现有6台埋地双层储罐（30m3、50m392#汽油罐各1台，30m3、50m395#汽油罐各1台，50m3柴油罐2台），6台油罐均安装了液位仪，其油罐埋地设置，通气管5根（油气回收装置1根）；该站汽油设有加油、卸油油气回收系统及油气处理装置（三次油气回收系统）；按《汽车加油加气加氢站技术标准》GB50156-2021标准规定：V=210m3，该站属一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center"/>
          </w:tcPr>
          <w:p w14:paraId="2BFFD54D">
            <w:pPr>
              <w:pStyle w:val="6"/>
              <w:spacing w:before="303" w:line="228" w:lineRule="auto"/>
              <w:jc w:val="center"/>
            </w:pPr>
            <w:r>
              <w:t>姓</w:t>
            </w:r>
            <w:r>
              <w:rPr>
                <w:spacing w:val="10"/>
              </w:rPr>
              <w:t xml:space="preserve">  </w:t>
            </w:r>
            <w:r>
              <w:t>名</w:t>
            </w:r>
          </w:p>
        </w:tc>
        <w:tc>
          <w:tcPr>
            <w:tcW w:w="1928" w:type="dxa"/>
            <w:vAlign w:val="center"/>
          </w:tcPr>
          <w:p w14:paraId="7E0C50CA">
            <w:pPr>
              <w:pStyle w:val="6"/>
              <w:spacing w:before="303" w:line="229" w:lineRule="auto"/>
              <w:ind w:left="761"/>
              <w:jc w:val="center"/>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firstLine="2354" w:firstLineChars="1100"/>
            </w:pPr>
            <w:r>
              <w:rPr>
                <w:rFonts w:hint="eastAsia"/>
                <w:spacing w:val="7"/>
                <w:lang w:val="en-US" w:eastAsia="zh-CN"/>
              </w:rPr>
              <w:t>辛磊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eastAsia" w:eastAsia="宋体"/>
                <w:lang w:eastAsia="zh-CN"/>
              </w:rPr>
            </w:pPr>
            <w:r>
              <w:rPr>
                <w:rFonts w:hint="eastAsia"/>
                <w:spacing w:val="4"/>
                <w:lang w:val="en-US" w:eastAsia="zh-CN"/>
              </w:rPr>
              <w:t>辛磊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8.3</w:t>
            </w:r>
          </w:p>
        </w:tc>
        <w:tc>
          <w:tcPr>
            <w:tcW w:w="3501" w:type="dxa"/>
            <w:vAlign w:val="top"/>
          </w:tcPr>
          <w:p w14:paraId="4B9D466E">
            <w:pPr>
              <w:pStyle w:val="6"/>
              <w:spacing w:before="130" w:line="227" w:lineRule="auto"/>
              <w:ind w:left="121"/>
            </w:pPr>
            <w:r>
              <w:rPr>
                <w:rFonts w:hint="eastAsia"/>
                <w:spacing w:val="11"/>
                <w:lang w:val="en-US" w:eastAsia="zh-CN"/>
              </w:rPr>
              <w:t>辛磊</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8.15</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8.16</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8.2</w:t>
            </w:r>
            <w:r>
              <w:rPr>
                <w:rFonts w:hint="eastAsia" w:ascii="Times New Roman" w:hAnsi="Times New Roman" w:cs="Times New Roman"/>
                <w:spacing w:val="6"/>
                <w:lang w:val="en-US" w:eastAsia="zh-CN"/>
              </w:rPr>
              <w:t>0</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7383B62B">
      <w:pPr>
        <w:rPr>
          <w:rFonts w:hint="eastAsia" w:eastAsia="宋体"/>
          <w:lang w:eastAsia="zh-CN"/>
        </w:rPr>
      </w:pPr>
    </w:p>
    <w:p w14:paraId="0B9ED6F0">
      <w:pPr>
        <w:rPr>
          <w:rFonts w:hint="eastAsia" w:eastAsia="宋体"/>
          <w:lang w:eastAsia="zh-CN"/>
        </w:rPr>
      </w:pPr>
    </w:p>
    <w:p w14:paraId="3591A995">
      <w:pPr>
        <w:rPr>
          <w:rFonts w:hint="eastAsia" w:eastAsia="宋体"/>
          <w:lang w:eastAsia="zh-CN"/>
        </w:rPr>
      </w:pPr>
    </w:p>
    <w:p w14:paraId="0BA63C11">
      <w:pPr>
        <w:pStyle w:val="2"/>
        <w:ind w:left="0" w:leftChars="0" w:firstLine="0" w:firstLineChars="0"/>
        <w:rPr>
          <w:rFonts w:hint="eastAsia"/>
          <w:lang w:eastAsia="zh-CN"/>
        </w:rPr>
      </w:pPr>
      <w:r>
        <w:rPr>
          <w:rFonts w:hint="eastAsia"/>
          <w:lang w:eastAsia="zh-CN"/>
        </w:rPr>
        <w:drawing>
          <wp:inline distT="0" distB="0" distL="114300" distR="114300">
            <wp:extent cx="5969000" cy="7959090"/>
            <wp:effectExtent l="0" t="0" r="12700" b="3810"/>
            <wp:docPr id="8" name="图片 8" descr="e9ee67ed414e593d9b544d268d8a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ee67ed414e593d9b544d268d8a4f1"/>
                    <pic:cNvPicPr>
                      <a:picLocks noChangeAspect="1"/>
                    </pic:cNvPicPr>
                  </pic:nvPicPr>
                  <pic:blipFill>
                    <a:blip r:embed="rId6"/>
                    <a:stretch>
                      <a:fillRect/>
                    </a:stretch>
                  </pic:blipFill>
                  <pic:spPr>
                    <a:xfrm>
                      <a:off x="0" y="0"/>
                      <a:ext cx="5969000" cy="7959090"/>
                    </a:xfrm>
                    <a:prstGeom prst="rect">
                      <a:avLst/>
                    </a:prstGeom>
                  </pic:spPr>
                </pic:pic>
              </a:graphicData>
            </a:graphic>
          </wp:inline>
        </w:drawing>
      </w:r>
    </w:p>
    <w:p w14:paraId="1CE4D273">
      <w:pPr>
        <w:rPr>
          <w:rFonts w:hint="eastAsia" w:eastAsia="宋体"/>
          <w:lang w:eastAsia="zh-CN"/>
        </w:rPr>
      </w:pPr>
    </w:p>
    <w:p w14:paraId="6DEFBA60">
      <w:pPr>
        <w:pStyle w:val="2"/>
        <w:rPr>
          <w:rFonts w:hint="eastAsia" w:eastAsia="宋体"/>
          <w:lang w:eastAsia="zh-CN"/>
        </w:rPr>
      </w:pPr>
    </w:p>
    <w:p w14:paraId="6D253535">
      <w:pPr>
        <w:pStyle w:val="2"/>
        <w:rPr>
          <w:rFonts w:hint="eastAsia" w:eastAsia="宋体"/>
          <w:lang w:eastAsia="zh-CN"/>
        </w:rPr>
      </w:pPr>
    </w:p>
    <w:p w14:paraId="03AC60C1">
      <w:pPr>
        <w:pStyle w:val="2"/>
        <w:rPr>
          <w:rFonts w:hint="eastAsia" w:eastAsia="宋体"/>
          <w:lang w:eastAsia="zh-CN"/>
        </w:rPr>
      </w:pPr>
    </w:p>
    <w:p w14:paraId="7E354C35">
      <w:pPr>
        <w:pStyle w:val="2"/>
        <w:rPr>
          <w:rFonts w:hint="eastAsia" w:eastAsia="宋体"/>
          <w:lang w:eastAsia="zh-CN"/>
        </w:rPr>
      </w:pPr>
    </w:p>
    <w:p w14:paraId="6319D631">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9635" cy="7962265"/>
            <wp:effectExtent l="0" t="0" r="12065" b="635"/>
            <wp:docPr id="9" name="图片 9" descr="d9c586ccfef4ee46253634c0ddf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9c586ccfef4ee46253634c0ddf2452"/>
                    <pic:cNvPicPr>
                      <a:picLocks noChangeAspect="1"/>
                    </pic:cNvPicPr>
                  </pic:nvPicPr>
                  <pic:blipFill>
                    <a:blip r:embed="rId7"/>
                    <a:stretch>
                      <a:fillRect/>
                    </a:stretch>
                  </pic:blipFill>
                  <pic:spPr>
                    <a:xfrm>
                      <a:off x="0" y="0"/>
                      <a:ext cx="5969635" cy="7962265"/>
                    </a:xfrm>
                    <a:prstGeom prst="rect">
                      <a:avLst/>
                    </a:prstGeom>
                  </pic:spPr>
                </pic:pic>
              </a:graphicData>
            </a:graphic>
          </wp:inline>
        </w:drawing>
      </w:r>
    </w:p>
    <w:p w14:paraId="34FAFE04">
      <w:pPr>
        <w:pStyle w:val="2"/>
        <w:rPr>
          <w:rFonts w:hint="eastAsia" w:eastAsia="宋体"/>
          <w:lang w:eastAsia="zh-CN"/>
        </w:rPr>
      </w:pPr>
    </w:p>
    <w:p w14:paraId="78403EAB">
      <w:pPr>
        <w:pStyle w:val="2"/>
        <w:rPr>
          <w:rFonts w:hint="eastAsia" w:eastAsia="宋体"/>
          <w:lang w:eastAsia="zh-CN"/>
        </w:rPr>
      </w:pPr>
    </w:p>
    <w:p w14:paraId="3DF57CD3">
      <w:pPr>
        <w:pStyle w:val="2"/>
        <w:rPr>
          <w:rFonts w:hint="eastAsia" w:eastAsia="宋体"/>
          <w:lang w:eastAsia="zh-CN"/>
        </w:rPr>
      </w:pPr>
    </w:p>
    <w:p w14:paraId="43C1ECE9">
      <w:pPr>
        <w:pStyle w:val="2"/>
        <w:rPr>
          <w:rFonts w:hint="eastAsia" w:eastAsia="宋体"/>
          <w:lang w:eastAsia="zh-CN"/>
        </w:rPr>
      </w:pPr>
    </w:p>
    <w:p w14:paraId="5F9A738B">
      <w:pPr>
        <w:pStyle w:val="2"/>
        <w:rPr>
          <w:rFonts w:hint="eastAsia" w:eastAsia="宋体"/>
          <w:lang w:eastAsia="zh-CN"/>
        </w:rPr>
      </w:pPr>
    </w:p>
    <w:p w14:paraId="675DA7BB">
      <w:pPr>
        <w:pStyle w:val="2"/>
        <w:rPr>
          <w:rFonts w:hint="eastAsia" w:eastAsia="宋体"/>
          <w:lang w:eastAsia="zh-CN"/>
        </w:rPr>
      </w:pPr>
    </w:p>
    <w:p w14:paraId="1E6C15F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9635" cy="7962265"/>
            <wp:effectExtent l="0" t="0" r="12065" b="635"/>
            <wp:docPr id="10" name="图片 10" descr="4d586f667145b94cc1fada03d72f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d586f667145b94cc1fada03d72f861"/>
                    <pic:cNvPicPr>
                      <a:picLocks noChangeAspect="1"/>
                    </pic:cNvPicPr>
                  </pic:nvPicPr>
                  <pic:blipFill>
                    <a:blip r:embed="rId8"/>
                    <a:stretch>
                      <a:fillRect/>
                    </a:stretch>
                  </pic:blipFill>
                  <pic:spPr>
                    <a:xfrm>
                      <a:off x="0" y="0"/>
                      <a:ext cx="5969635" cy="7962265"/>
                    </a:xfrm>
                    <a:prstGeom prst="rect">
                      <a:avLst/>
                    </a:prstGeom>
                  </pic:spPr>
                </pic:pic>
              </a:graphicData>
            </a:graphic>
          </wp:inline>
        </w:drawing>
      </w:r>
    </w:p>
    <w:p w14:paraId="1B2C0C06">
      <w:pPr>
        <w:pStyle w:val="2"/>
        <w:rPr>
          <w:rFonts w:hint="eastAsia" w:eastAsia="宋体"/>
          <w:lang w:eastAsia="zh-CN"/>
        </w:rPr>
      </w:pPr>
    </w:p>
    <w:p w14:paraId="40B3EDD4">
      <w:pPr>
        <w:pStyle w:val="2"/>
        <w:rPr>
          <w:rFonts w:hint="eastAsia" w:eastAsia="宋体"/>
          <w:lang w:eastAsia="zh-CN"/>
        </w:rPr>
      </w:pPr>
    </w:p>
    <w:p w14:paraId="643D966C">
      <w:pPr>
        <w:pStyle w:val="2"/>
        <w:ind w:left="0" w:leftChars="0" w:firstLine="0" w:firstLineChars="0"/>
        <w:rPr>
          <w:rFonts w:hint="eastAsia" w:eastAsia="宋体"/>
          <w:lang w:eastAsia="zh-CN"/>
        </w:rPr>
      </w:pPr>
    </w:p>
    <w:p w14:paraId="7428CBE7">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30265" cy="4447540"/>
            <wp:effectExtent l="0" t="0" r="13335" b="10160"/>
            <wp:docPr id="11" name="图片 11" descr="6辉恒现场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辉恒现场检查"/>
                    <pic:cNvPicPr>
                      <a:picLocks noChangeAspect="1"/>
                    </pic:cNvPicPr>
                  </pic:nvPicPr>
                  <pic:blipFill>
                    <a:blip r:embed="rId9"/>
                    <a:stretch>
                      <a:fillRect/>
                    </a:stretch>
                  </pic:blipFill>
                  <pic:spPr>
                    <a:xfrm>
                      <a:off x="0" y="0"/>
                      <a:ext cx="5930265" cy="4447540"/>
                    </a:xfrm>
                    <a:prstGeom prst="rect">
                      <a:avLst/>
                    </a:prstGeom>
                  </pic:spPr>
                </pic:pic>
              </a:graphicData>
            </a:graphic>
          </wp:inline>
        </w:drawing>
      </w:r>
    </w:p>
    <w:p w14:paraId="7929ADE4">
      <w:pPr>
        <w:pStyle w:val="2"/>
        <w:ind w:left="0" w:leftChars="0" w:firstLine="0" w:firstLineChars="0"/>
        <w:rPr>
          <w:rFonts w:hint="eastAsia" w:eastAsia="宋体"/>
          <w:lang w:eastAsia="zh-CN"/>
        </w:rPr>
      </w:pPr>
    </w:p>
    <w:p w14:paraId="2DC9F7F8">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758815" cy="4319270"/>
            <wp:effectExtent l="0" t="0" r="13335" b="5080"/>
            <wp:docPr id="12" name="图片 12" descr="IMG_20240816_14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816_145815"/>
                    <pic:cNvPicPr>
                      <a:picLocks noChangeAspect="1"/>
                    </pic:cNvPicPr>
                  </pic:nvPicPr>
                  <pic:blipFill>
                    <a:blip r:embed="rId10"/>
                    <a:stretch>
                      <a:fillRect/>
                    </a:stretch>
                  </pic:blipFill>
                  <pic:spPr>
                    <a:xfrm>
                      <a:off x="0" y="0"/>
                      <a:ext cx="5758815" cy="4319270"/>
                    </a:xfrm>
                    <a:prstGeom prst="rect">
                      <a:avLst/>
                    </a:prstGeom>
                  </pic:spPr>
                </pic:pic>
              </a:graphicData>
            </a:graphic>
          </wp:inline>
        </w:drawing>
      </w:r>
    </w:p>
    <w:p w14:paraId="09D33E0E">
      <w:pPr>
        <w:pStyle w:val="9"/>
        <w:widowControl w:val="0"/>
        <w:adjustRightInd w:val="0"/>
        <w:snapToGrid w:val="0"/>
        <w:spacing w:before="0" w:beforeLines="0" w:after="0" w:afterLines="0" w:line="360" w:lineRule="auto"/>
      </w:pPr>
      <w:r>
        <w:t>第二章 加油站概况</w:t>
      </w:r>
    </w:p>
    <w:p w14:paraId="08005A5C">
      <w:pPr>
        <w:snapToGrid w:val="0"/>
        <w:spacing w:line="360" w:lineRule="auto"/>
        <w:jc w:val="center"/>
        <w:outlineLvl w:val="1"/>
        <w:rPr>
          <w:rFonts w:ascii="Calibri" w:hAnsi="Calibri" w:eastAsia="楷体_GB2312"/>
          <w:b/>
          <w:kern w:val="0"/>
          <w:sz w:val="32"/>
          <w:szCs w:val="20"/>
        </w:rPr>
      </w:pPr>
      <w:r>
        <w:rPr>
          <w:rFonts w:ascii="Calibri" w:hAnsi="Calibri" w:eastAsia="楷体_GB2312"/>
          <w:b/>
          <w:kern w:val="0"/>
          <w:sz w:val="32"/>
          <w:szCs w:val="20"/>
        </w:rPr>
        <w:t>第一节 加油站基本情况</w:t>
      </w:r>
    </w:p>
    <w:p w14:paraId="1097228A">
      <w:pPr>
        <w:adjustRightInd w:val="0"/>
        <w:snapToGrid w:val="0"/>
        <w:spacing w:line="360" w:lineRule="auto"/>
        <w:ind w:firstLine="560" w:firstLineChars="200"/>
        <w:rPr>
          <w:rFonts w:eastAsiaTheme="minorEastAsia"/>
        </w:rPr>
      </w:pPr>
      <w:r>
        <w:rPr>
          <w:rFonts w:hint="eastAsia" w:ascii="宋体" w:hAnsi="宋体"/>
          <w:sz w:val="28"/>
        </w:rPr>
        <w:t>肥城市辉恒能源服务有限公司（原名富海能源有限公司桃园服务区南加油站，法人代表未变</w:t>
      </w:r>
      <w:r>
        <w:rPr>
          <w:rFonts w:hint="eastAsia" w:asciiTheme="minorEastAsia" w:hAnsiTheme="minorEastAsia" w:eastAsiaTheme="minorEastAsia" w:cstheme="minorEastAsia"/>
          <w:sz w:val="28"/>
          <w:szCs w:val="28"/>
        </w:rPr>
        <w:t>）是由富海能源有限公司全资成立的分公司，并由富海能源有限公司授权该分公司全权代理此加油站。</w:t>
      </w:r>
      <w:r>
        <w:rPr>
          <w:rFonts w:hint="eastAsia" w:ascii="宋体" w:hAnsi="宋体"/>
          <w:sz w:val="28"/>
        </w:rPr>
        <w:t>该公司位于</w:t>
      </w:r>
      <w:r>
        <w:rPr>
          <w:rFonts w:hint="eastAsia" w:ascii="宋体" w:hAnsi="宋体"/>
          <w:color w:val="000000" w:themeColor="text1"/>
          <w:sz w:val="28"/>
          <w14:textFill>
            <w14:solidFill>
              <w14:schemeClr w14:val="tx1"/>
            </w14:solidFill>
          </w14:textFill>
        </w:rPr>
        <w:t>山东省泰安市肥城市桃园镇</w:t>
      </w:r>
      <w:r>
        <w:rPr>
          <w:rFonts w:hint="eastAsia" w:ascii="宋体" w:hAnsi="宋体"/>
          <w:sz w:val="28"/>
        </w:rPr>
        <w:t>青兰高速</w:t>
      </w:r>
      <w:r>
        <w:rPr>
          <w:rFonts w:hint="eastAsia" w:asciiTheme="minorEastAsia" w:hAnsiTheme="minorEastAsia" w:eastAsiaTheme="minorEastAsia" w:cstheme="minorEastAsia"/>
          <w:sz w:val="28"/>
          <w:szCs w:val="28"/>
        </w:rPr>
        <w:t>K98+715米南侧。</w:t>
      </w:r>
      <w:r>
        <w:rPr>
          <w:rFonts w:hint="eastAsia" w:ascii="宋体" w:hAnsi="宋体"/>
          <w:sz w:val="28"/>
        </w:rPr>
        <w:t>该站北侧是G22青兰高速，南侧是污水处理站，西侧是站外充电桩、综合楼，东侧是空地。</w:t>
      </w:r>
      <w:r>
        <w:rPr>
          <w:rFonts w:hint="eastAsia" w:asciiTheme="minorEastAsia" w:hAnsiTheme="minorEastAsia" w:eastAsiaTheme="minorEastAsia" w:cstheme="minorEastAsia"/>
          <w:sz w:val="28"/>
          <w:szCs w:val="28"/>
        </w:rPr>
        <w:t>该站经营许可范围为汽油、乙醇汽油、柴油，现其主要经营汽油、柴油，暂未经营乙醇汽油</w:t>
      </w:r>
      <w:r>
        <w:rPr>
          <w:rFonts w:hint="eastAsia" w:asciiTheme="minorEastAsia" w:hAnsiTheme="minorEastAsia" w:eastAsiaTheme="minorEastAsia" w:cstheme="minorEastAsia"/>
          <w:snapToGrid w:val="0"/>
          <w:kern w:val="0"/>
          <w:sz w:val="28"/>
          <w:szCs w:val="28"/>
        </w:rPr>
        <w:t>。</w:t>
      </w:r>
      <w:r>
        <w:rPr>
          <w:rFonts w:hint="eastAsia" w:asciiTheme="minorEastAsia" w:hAnsiTheme="minorEastAsia" w:eastAsiaTheme="minorEastAsia" w:cstheme="minorEastAsia"/>
          <w:sz w:val="28"/>
          <w:szCs w:val="28"/>
        </w:rPr>
        <w:t>此次现状评价报告与三年前报告相比，总平面布置、周</w:t>
      </w:r>
      <w:r>
        <w:rPr>
          <w:rFonts w:hint="eastAsia" w:asciiTheme="minorEastAsia" w:hAnsiTheme="minorEastAsia" w:eastAsiaTheme="minorEastAsia" w:cstheme="minorEastAsia"/>
          <w:color w:val="000000" w:themeColor="text1"/>
          <w:sz w:val="28"/>
          <w:szCs w:val="28"/>
          <w14:textFill>
            <w14:solidFill>
              <w14:schemeClr w14:val="tx1"/>
            </w14:solidFill>
          </w14:textFill>
        </w:rPr>
        <w:t>边环境未发生变化，</w:t>
      </w:r>
      <w:r>
        <w:rPr>
          <w:rFonts w:hint="eastAsia" w:asciiTheme="minorEastAsia" w:hAnsiTheme="minorEastAsia" w:eastAsiaTheme="minorEastAsia" w:cstheme="minorEastAsia"/>
          <w:sz w:val="28"/>
          <w:szCs w:val="28"/>
        </w:rPr>
        <w:t>更换了加油站人员，增设了4台可燃气体探测器。</w:t>
      </w:r>
    </w:p>
    <w:p w14:paraId="012B215E">
      <w:pPr>
        <w:pStyle w:val="8"/>
        <w:widowControl w:val="0"/>
        <w:adjustRightInd w:val="0"/>
        <w:snapToGrid w:val="0"/>
        <w:spacing w:line="360" w:lineRule="auto"/>
        <w:ind w:firstLine="56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该加油站主要建有站房、油罐区、加油区。加油区分别在站房北侧和东侧，共</w:t>
      </w:r>
      <w:r>
        <w:rPr>
          <w:rFonts w:hint="eastAsia" w:asciiTheme="minorEastAsia" w:hAnsiTheme="minorEastAsia" w:eastAsiaTheme="minorEastAsia" w:cstheme="minorEastAsia"/>
          <w:kern w:val="2"/>
          <w:szCs w:val="28"/>
        </w:rPr>
        <w:t>有12台加油机，其中8台双枪加油机，4台四枪加油机。因客流量较小，现仅有2台双枪柴油加油机和2台四枪汽油加油机在用，12台加油机均为潜油泵式</w:t>
      </w:r>
      <w:r>
        <w:rPr>
          <w:rFonts w:hint="eastAsia" w:asciiTheme="minorEastAsia" w:hAnsiTheme="minorEastAsia" w:eastAsiaTheme="minorEastAsia" w:cstheme="minorEastAsia"/>
          <w:szCs w:val="28"/>
        </w:rPr>
        <w:t>；油罐区在站房西侧，现有6台埋地双层储罐（30m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、50m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92#汽油罐各1台，30m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、50m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95#汽油罐各1台，50m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柴油罐2台），6台油罐均安装了液位仪，其油罐埋地设置，通气管5根（油气回收装置1根）；该站汽油设有加油、卸油油气回收系统及油气处理装置（三次油气回收系统）；按《汽车加油加气加氢站技术标准》GB50156-2021标准规定：V=210m</w:t>
      </w:r>
      <w:r>
        <w:rPr>
          <w:rFonts w:hint="eastAsia" w:asciiTheme="minorEastAsia" w:hAnsiTheme="minorEastAsia" w:eastAsiaTheme="minorEastAsia" w:cstheme="minorEastAsia"/>
          <w:szCs w:val="28"/>
          <w:vertAlign w:val="superscript"/>
        </w:rPr>
        <w:t>3</w:t>
      </w:r>
      <w:r>
        <w:rPr>
          <w:rFonts w:hint="eastAsia" w:asciiTheme="minorEastAsia" w:hAnsiTheme="minorEastAsia" w:eastAsiaTheme="minorEastAsia" w:cstheme="minorEastAsia"/>
          <w:szCs w:val="28"/>
        </w:rPr>
        <w:t>，该站属一级加油站。</w:t>
      </w:r>
    </w:p>
    <w:p w14:paraId="625FED80">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5C2E2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152724A4">
            <w:pPr>
              <w:pStyle w:val="11"/>
              <w:widowControl w:val="0"/>
              <w:spacing w:line="360" w:lineRule="auto"/>
              <w:rPr>
                <w:rFonts w:hint="eastAsia"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19B55297">
            <w:pPr>
              <w:pStyle w:val="11"/>
              <w:widowControl w:val="0"/>
              <w:spacing w:line="360" w:lineRule="auto"/>
              <w:rPr>
                <w:rFonts w:hint="eastAsia"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582E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71CFA338">
            <w:pPr>
              <w:pStyle w:val="11"/>
              <w:widowControl w:val="0"/>
              <w:spacing w:line="360" w:lineRule="auto"/>
              <w:rPr>
                <w:rFonts w:hint="eastAsia" w:ascii="宋体" w:hAnsi="宋体"/>
                <w:b/>
                <w:bCs/>
              </w:rPr>
            </w:pPr>
          </w:p>
        </w:tc>
        <w:tc>
          <w:tcPr>
            <w:tcW w:w="1667" w:type="pct"/>
            <w:vAlign w:val="center"/>
          </w:tcPr>
          <w:p w14:paraId="45B58BF6">
            <w:pPr>
              <w:pStyle w:val="11"/>
              <w:widowControl w:val="0"/>
              <w:spacing w:line="360" w:lineRule="auto"/>
              <w:rPr>
                <w:rFonts w:hint="eastAsia" w:ascii="宋体" w:hAnsi="宋体"/>
                <w:b/>
                <w:bCs/>
              </w:rPr>
            </w:pPr>
            <w:r>
              <w:rPr>
                <w:rFonts w:ascii="宋体" w:hAnsi="宋体"/>
                <w:b/>
                <w:bCs/>
              </w:rPr>
              <w:t>总容积</w:t>
            </w:r>
            <w:r>
              <w:rPr>
                <w:rFonts w:hint="eastAsia" w:ascii="宋体" w:hAnsi="宋体"/>
                <w:b/>
                <w:bCs/>
              </w:rPr>
              <w:t>V</w:t>
            </w:r>
          </w:p>
        </w:tc>
        <w:tc>
          <w:tcPr>
            <w:tcW w:w="1671" w:type="pct"/>
            <w:vAlign w:val="center"/>
          </w:tcPr>
          <w:p w14:paraId="60C73681">
            <w:pPr>
              <w:pStyle w:val="11"/>
              <w:widowControl w:val="0"/>
              <w:spacing w:line="360" w:lineRule="auto"/>
              <w:rPr>
                <w:rFonts w:hint="eastAsia" w:ascii="宋体" w:hAnsi="宋体"/>
                <w:b/>
                <w:bCs/>
              </w:rPr>
            </w:pPr>
            <w:r>
              <w:rPr>
                <w:rFonts w:ascii="宋体" w:hAnsi="宋体"/>
                <w:b/>
                <w:bCs/>
              </w:rPr>
              <w:t>单罐容积</w:t>
            </w:r>
          </w:p>
        </w:tc>
      </w:tr>
      <w:tr w14:paraId="30371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8E7E50D">
            <w:pPr>
              <w:pStyle w:val="11"/>
              <w:widowControl w:val="0"/>
              <w:spacing w:line="360" w:lineRule="auto"/>
              <w:rPr>
                <w:rFonts w:hint="eastAsia" w:ascii="宋体" w:hAnsi="宋体"/>
              </w:rPr>
            </w:pPr>
            <w:r>
              <w:rPr>
                <w:rFonts w:ascii="宋体" w:hAnsi="宋体"/>
              </w:rPr>
              <w:t>一级</w:t>
            </w:r>
          </w:p>
        </w:tc>
        <w:tc>
          <w:tcPr>
            <w:tcW w:w="1667" w:type="pct"/>
            <w:vAlign w:val="center"/>
          </w:tcPr>
          <w:p w14:paraId="134AF373">
            <w:pPr>
              <w:pStyle w:val="11"/>
              <w:widowControl w:val="0"/>
              <w:spacing w:line="360" w:lineRule="auto"/>
              <w:rPr>
                <w:rFonts w:hint="eastAsia"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D6A4072">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10097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D2E640A">
            <w:pPr>
              <w:pStyle w:val="11"/>
              <w:widowControl w:val="0"/>
              <w:spacing w:line="360" w:lineRule="auto"/>
              <w:rPr>
                <w:rFonts w:hint="eastAsia" w:ascii="宋体" w:hAnsi="宋体"/>
              </w:rPr>
            </w:pPr>
            <w:r>
              <w:rPr>
                <w:rFonts w:ascii="宋体" w:hAnsi="宋体"/>
              </w:rPr>
              <w:t>二级</w:t>
            </w:r>
          </w:p>
        </w:tc>
        <w:tc>
          <w:tcPr>
            <w:tcW w:w="1667" w:type="pct"/>
            <w:vAlign w:val="center"/>
          </w:tcPr>
          <w:p w14:paraId="07C0AE73">
            <w:pPr>
              <w:pStyle w:val="11"/>
              <w:widowControl w:val="0"/>
              <w:spacing w:line="360" w:lineRule="auto"/>
              <w:rPr>
                <w:rFonts w:hint="eastAsia"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05F12AF4">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46810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6123999">
            <w:pPr>
              <w:pStyle w:val="11"/>
              <w:widowControl w:val="0"/>
              <w:spacing w:line="360" w:lineRule="auto"/>
              <w:rPr>
                <w:rFonts w:hint="eastAsia" w:ascii="宋体" w:hAnsi="宋体"/>
              </w:rPr>
            </w:pPr>
            <w:r>
              <w:rPr>
                <w:rFonts w:ascii="宋体" w:hAnsi="宋体"/>
              </w:rPr>
              <w:t>三级</w:t>
            </w:r>
          </w:p>
        </w:tc>
        <w:tc>
          <w:tcPr>
            <w:tcW w:w="1667" w:type="pct"/>
            <w:vAlign w:val="center"/>
          </w:tcPr>
          <w:p w14:paraId="14388D48">
            <w:pPr>
              <w:pStyle w:val="11"/>
              <w:widowControl w:val="0"/>
              <w:spacing w:line="360" w:lineRule="auto"/>
              <w:rPr>
                <w:rFonts w:hint="eastAsia"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5890CFCF">
            <w:pPr>
              <w:pStyle w:val="11"/>
              <w:widowControl w:val="0"/>
              <w:spacing w:line="360" w:lineRule="auto"/>
              <w:rPr>
                <w:rFonts w:hint="eastAsia" w:ascii="宋体" w:hAnsi="宋体"/>
              </w:rPr>
            </w:pPr>
            <w:r>
              <w:rPr>
                <w:rFonts w:ascii="宋体" w:hAnsi="宋体"/>
              </w:rPr>
              <w:t>汽油罐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5F928755">
      <w:pPr>
        <w:pStyle w:val="12"/>
        <w:widowControl w:val="0"/>
        <w:spacing w:line="360" w:lineRule="auto"/>
        <w:ind w:firstLine="436"/>
      </w:pPr>
      <w:r>
        <w:t>注：</w:t>
      </w:r>
      <w:r>
        <w:rPr>
          <w:rFonts w:hint="eastAsia"/>
        </w:rPr>
        <w:t>V为油罐总容积。</w:t>
      </w:r>
      <w:r>
        <w:t>柴油罐容积可折半计入油罐总容积。</w:t>
      </w:r>
    </w:p>
    <w:p w14:paraId="135EA0E6">
      <w:pPr>
        <w:pStyle w:val="8"/>
        <w:widowControl w:val="0"/>
        <w:spacing w:line="360" w:lineRule="auto"/>
        <w:ind w:firstLine="560"/>
        <w:rPr>
          <w:rFonts w:ascii="宋体"/>
        </w:rPr>
      </w:pPr>
      <w:r>
        <w:rPr>
          <w:rFonts w:ascii="宋体"/>
        </w:rPr>
        <w:t>该站现有职工</w:t>
      </w:r>
      <w:r>
        <w:rPr>
          <w:rFonts w:hint="eastAsia" w:ascii="宋体"/>
        </w:rPr>
        <w:t>4人</w:t>
      </w:r>
      <w:r>
        <w:rPr>
          <w:rFonts w:ascii="宋体"/>
        </w:rPr>
        <w:t>，</w:t>
      </w:r>
      <w:r>
        <w:rPr>
          <w:rFonts w:hint="eastAsia" w:ascii="宋体"/>
        </w:rPr>
        <w:t>其中</w:t>
      </w:r>
      <w:r>
        <w:rPr>
          <w:rFonts w:ascii="宋体"/>
        </w:rPr>
        <w:t>主要负责人</w:t>
      </w:r>
      <w:r>
        <w:rPr>
          <w:rFonts w:hint="eastAsia" w:ascii="宋体"/>
        </w:rPr>
        <w:t>1</w:t>
      </w:r>
      <w:r>
        <w:rPr>
          <w:rFonts w:ascii="宋体"/>
        </w:rPr>
        <w:t>人，安全生产管理人员</w:t>
      </w:r>
      <w:r>
        <w:rPr>
          <w:rFonts w:hint="eastAsia" w:ascii="宋体"/>
        </w:rPr>
        <w:t>1人。主要负责人和安全生产管理人员已参加了危险化学品安全管理培训，并取得考核合格证，</w:t>
      </w:r>
      <w:r>
        <w:rPr>
          <w:rFonts w:ascii="宋体"/>
        </w:rPr>
        <w:t>详见附件。</w:t>
      </w:r>
    </w:p>
    <w:p w14:paraId="304F42F1">
      <w:pPr>
        <w:pStyle w:val="8"/>
        <w:widowControl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公司于2019年08月20 日签订了《租赁合同》，租赁期从2019年08月20日至2029年08月19日。详见附件。</w:t>
      </w:r>
    </w:p>
    <w:p w14:paraId="6BC7D18B">
      <w:pPr>
        <w:pStyle w:val="8"/>
        <w:widowControl w:val="0"/>
        <w:spacing w:line="360" w:lineRule="auto"/>
        <w:ind w:firstLine="560"/>
        <w:rPr>
          <w:rFonts w:ascii="宋体"/>
        </w:rPr>
      </w:pPr>
      <w:r>
        <w:rPr>
          <w:rFonts w:hint="eastAsia" w:ascii="宋体"/>
        </w:rPr>
        <w:t>公司于2019年06月14日取得了泰安市住房和城乡建设局出具的《建设工程消防验收意见书》，编号：泰建消验字[2019]第0021号，详见附件。</w:t>
      </w:r>
    </w:p>
    <w:p w14:paraId="6BBEB1F6">
      <w:pPr>
        <w:pStyle w:val="8"/>
        <w:widowControl w:val="0"/>
        <w:spacing w:line="360" w:lineRule="auto"/>
        <w:ind w:firstLine="560"/>
        <w:rPr>
          <w:rFonts w:ascii="宋体"/>
        </w:rPr>
      </w:pPr>
      <w:r>
        <w:rPr>
          <w:rFonts w:hint="eastAsia" w:ascii="宋体"/>
        </w:rPr>
        <w:t>公司于2022年7月26日换发了《成品油零售经营批准证书》，证书编号：鲁油零售证书第370983002号，证书有效期至2027年03月14日。证书见附件。</w:t>
      </w:r>
    </w:p>
    <w:p w14:paraId="0DBE1CF0">
      <w:pPr>
        <w:pStyle w:val="8"/>
        <w:widowControl w:val="0"/>
        <w:spacing w:line="360" w:lineRule="auto"/>
        <w:ind w:firstLine="560"/>
        <w:rPr>
          <w:rFonts w:ascii="宋体"/>
        </w:rPr>
      </w:pPr>
      <w:r>
        <w:rPr>
          <w:rFonts w:hint="eastAsia" w:ascii="宋体"/>
        </w:rPr>
        <w:t>公司于2023年01月16日换发了《危险化学品经营许可证》，证书编号：鲁泰肥危化经[2023]040063号，证书有效期2023年01月16日至2026年01月15日</w:t>
      </w:r>
      <w:r>
        <w:rPr>
          <w:rFonts w:ascii="宋体"/>
        </w:rPr>
        <w:t>。</w:t>
      </w:r>
      <w:r>
        <w:rPr>
          <w:rFonts w:hint="eastAsia" w:ascii="宋体"/>
        </w:rPr>
        <w:t>证书见附件。</w:t>
      </w:r>
    </w:p>
    <w:p w14:paraId="5168CC53">
      <w:pPr>
        <w:pStyle w:val="8"/>
        <w:widowControl w:val="0"/>
        <w:spacing w:line="360" w:lineRule="auto"/>
        <w:ind w:firstLine="560"/>
        <w:rPr>
          <w:rFonts w:ascii="宋体"/>
        </w:rPr>
      </w:pPr>
      <w:r>
        <w:rPr>
          <w:rFonts w:hint="eastAsia" w:ascii="宋体"/>
        </w:rPr>
        <w:t>公司编制了生产安全事故应急预案，于2024年08月15日在肥城市应急管理局进行了备案，备案编号为：370983-2024-W055。详见附件。</w:t>
      </w:r>
    </w:p>
    <w:p w14:paraId="3C735B47">
      <w:pPr>
        <w:pStyle w:val="8"/>
        <w:widowControl w:val="0"/>
        <w:spacing w:line="360" w:lineRule="auto"/>
        <w:ind w:firstLine="560"/>
        <w:rPr>
          <w:rFonts w:ascii="宋体"/>
        </w:rPr>
      </w:pPr>
      <w:r>
        <w:rPr>
          <w:rFonts w:hint="eastAsia" w:ascii="宋体"/>
        </w:rPr>
        <w:t>公司购买了阳光保险集团的安全生产责任保险，保单号为10252171320240000026，保险期限为2024年03月03日至2025年03月02日。详见附件。</w:t>
      </w:r>
    </w:p>
    <w:p w14:paraId="30818571">
      <w:pPr>
        <w:pStyle w:val="8"/>
        <w:widowControl w:val="0"/>
        <w:spacing w:line="360" w:lineRule="auto"/>
        <w:ind w:firstLine="560"/>
        <w:rPr>
          <w:rFonts w:ascii="宋体"/>
        </w:rPr>
      </w:pPr>
      <w:r>
        <w:rPr>
          <w:rFonts w:hint="eastAsia" w:ascii="宋体"/>
        </w:rPr>
        <w:t>山东天科防雷工程有限公司对该站进行了相关防雷设施的检测，出具了合格的《雷电防护装置定期检测报告》，报告编号：（1122016001）[2024]TAFC-0205号，防雷类别：二类，有效期2024年07月07日至2025年01月06日。检测报告见附件。</w:t>
      </w:r>
    </w:p>
    <w:p w14:paraId="73E900F0">
      <w:pPr>
        <w:pStyle w:val="8"/>
        <w:widowControl w:val="0"/>
        <w:spacing w:line="360" w:lineRule="auto"/>
        <w:ind w:firstLine="560"/>
        <w:rPr>
          <w:rFonts w:ascii="宋体"/>
        </w:rPr>
      </w:pPr>
      <w:r>
        <w:rPr>
          <w:rFonts w:hint="eastAsia" w:ascii="宋体"/>
        </w:rPr>
        <w:t>该站建立健全了安全生产责任制、安全生产规章制度和安全操作规程，执行情况较好。</w:t>
      </w:r>
    </w:p>
    <w:p w14:paraId="4CD5DC91">
      <w:pPr>
        <w:pStyle w:val="8"/>
        <w:widowControl w:val="0"/>
        <w:spacing w:line="360" w:lineRule="auto"/>
        <w:ind w:firstLine="560"/>
        <w:rPr>
          <w:rFonts w:ascii="宋体"/>
        </w:rPr>
      </w:pPr>
      <w:r>
        <w:rPr>
          <w:rFonts w:hint="eastAsia" w:ascii="宋体"/>
        </w:rPr>
        <w:t>该站现有员工4人，按规定持证上岗。该加油站成立了以主要负责人为安全第一责任人的安全生产领导小组，同时成立了义务消防队。主要负责人和安全员经过安全培训，各项安全管理制度基本健全，有生产经营单位生产事故应急预案，并定期进行应急救援演练。该加油站消防器材配备齐全，加油站配备了35kg推车式干粉灭火器6具，8kg手提式干粉灭火器30具，CO</w:t>
      </w:r>
      <w:r>
        <w:rPr>
          <w:rFonts w:hint="eastAsia" w:ascii="宋体"/>
          <w:vertAlign w:val="subscript"/>
        </w:rPr>
        <w:t>2</w:t>
      </w:r>
      <w:r>
        <w:rPr>
          <w:rFonts w:hint="eastAsia" w:ascii="宋体"/>
        </w:rPr>
        <w:t>灭火器3具，灭火毯14块，消防锨6把，消防桶6个，消防沙池2m</w:t>
      </w:r>
      <w:r>
        <w:rPr>
          <w:rFonts w:hint="eastAsia" w:ascii="宋体"/>
          <w:vertAlign w:val="superscript"/>
        </w:rPr>
        <w:t>3</w:t>
      </w:r>
      <w:r>
        <w:rPr>
          <w:rFonts w:hint="eastAsia" w:ascii="宋体"/>
        </w:rPr>
        <w:t>。</w:t>
      </w:r>
    </w:p>
    <w:p w14:paraId="437B7760">
      <w:pPr>
        <w:pStyle w:val="8"/>
        <w:widowControl w:val="0"/>
        <w:spacing w:line="360" w:lineRule="auto"/>
        <w:ind w:firstLine="560"/>
        <w:rPr>
          <w:rFonts w:ascii="宋体"/>
        </w:rPr>
      </w:pPr>
      <w:r>
        <w:rPr>
          <w:rFonts w:hint="eastAsia" w:ascii="宋体"/>
        </w:rPr>
        <w:t>该加油站按功能分区布置，有油罐区、加油区、站房，布置较合理。</w:t>
      </w:r>
    </w:p>
    <w:p w14:paraId="729F6966">
      <w:pPr>
        <w:pStyle w:val="8"/>
        <w:widowControl w:val="0"/>
        <w:spacing w:line="360" w:lineRule="auto"/>
        <w:ind w:firstLine="560"/>
        <w:rPr>
          <w:rFonts w:ascii="宋体"/>
        </w:rPr>
      </w:pPr>
      <w:r>
        <w:rPr>
          <w:rFonts w:hint="eastAsia" w:ascii="宋体"/>
        </w:rPr>
        <w:t>站房地上一层（砖混），罩棚为钢架结构。</w:t>
      </w:r>
      <w:r>
        <w:rPr>
          <w:rFonts w:ascii="宋体"/>
        </w:rPr>
        <w:t>该站基本情况见下表2.1-2。</w:t>
      </w:r>
      <w:r>
        <w:rPr>
          <w:rFonts w:hint="eastAsia" w:ascii="宋体"/>
        </w:rPr>
        <w:t xml:space="preserve">                                                                                                                                                                                                                                                                                                                                                                                                                                                                                                                                                                                                                                                                                                                                                                                                                                                                                                                                                                                                                                                                                                                                                                                                                                                                                                                                                                                                                                                                                                                                                                                                                                                                                                                                                                                                                                                                                                                                                                                                                                                                                                                                                                                                                                                                                                                                                                                                                                                                                                                                                                                                                                                                                                                                                                                                                                                                                                                                                                                                                                                                                                                                                                                                                                                                                                                                                                  </w:t>
      </w:r>
    </w:p>
    <w:p w14:paraId="689B71DA">
      <w:pPr>
        <w:pStyle w:val="10"/>
        <w:widowControl w:val="0"/>
        <w:outlineLvl w:val="9"/>
        <w:rPr>
          <w:rFonts w:hint="eastAsia"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1"/>
        <w:gridCol w:w="996"/>
        <w:gridCol w:w="129"/>
        <w:gridCol w:w="1325"/>
        <w:gridCol w:w="195"/>
        <w:gridCol w:w="1323"/>
        <w:gridCol w:w="1148"/>
        <w:gridCol w:w="169"/>
        <w:gridCol w:w="1381"/>
      </w:tblGrid>
      <w:tr w14:paraId="54556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80" w:hRule="atLeast"/>
          <w:jc w:val="center"/>
        </w:trPr>
        <w:tc>
          <w:tcPr>
            <w:tcW w:w="769" w:type="pct"/>
            <w:vAlign w:val="center"/>
          </w:tcPr>
          <w:p w14:paraId="2E6BA584">
            <w:pPr>
              <w:pStyle w:val="11"/>
              <w:widowControl w:val="0"/>
              <w:spacing w:line="360" w:lineRule="auto"/>
              <w:rPr>
                <w:rFonts w:hint="eastAsia" w:ascii="宋体" w:hAnsi="宋体" w:cs="宋体"/>
              </w:rPr>
            </w:pPr>
            <w:r>
              <w:rPr>
                <w:rFonts w:hint="eastAsia" w:ascii="宋体" w:hAnsi="宋体" w:cs="宋体"/>
              </w:rPr>
              <w:t>企业名称</w:t>
            </w:r>
          </w:p>
        </w:tc>
        <w:tc>
          <w:tcPr>
            <w:tcW w:w="4230" w:type="pct"/>
            <w:gridSpan w:val="9"/>
            <w:vAlign w:val="center"/>
          </w:tcPr>
          <w:p w14:paraId="72B99350">
            <w:pPr>
              <w:pStyle w:val="11"/>
              <w:widowControl w:val="0"/>
              <w:spacing w:line="360" w:lineRule="auto"/>
              <w:rPr>
                <w:rFonts w:hint="eastAsia" w:ascii="宋体" w:hAnsi="宋体" w:cs="宋体"/>
              </w:rPr>
            </w:pPr>
            <w:r>
              <w:rPr>
                <w:rFonts w:hint="eastAsia" w:ascii="宋体" w:hAnsi="宋体" w:cs="宋体"/>
              </w:rPr>
              <w:t>肥城市辉恒能源服务有限公司</w:t>
            </w:r>
          </w:p>
        </w:tc>
      </w:tr>
      <w:tr w14:paraId="577120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6B4A9291">
            <w:pPr>
              <w:pStyle w:val="11"/>
              <w:widowControl w:val="0"/>
              <w:spacing w:line="360" w:lineRule="auto"/>
              <w:rPr>
                <w:rFonts w:hint="eastAsia" w:ascii="宋体" w:hAnsi="宋体" w:cs="宋体"/>
              </w:rPr>
            </w:pPr>
            <w:r>
              <w:rPr>
                <w:rFonts w:hint="eastAsia" w:ascii="宋体" w:hAnsi="宋体" w:cs="宋体"/>
              </w:rPr>
              <w:t>注册地址</w:t>
            </w:r>
          </w:p>
        </w:tc>
        <w:tc>
          <w:tcPr>
            <w:tcW w:w="4230" w:type="pct"/>
            <w:gridSpan w:val="9"/>
            <w:vAlign w:val="center"/>
          </w:tcPr>
          <w:p w14:paraId="26E5C2DB">
            <w:pPr>
              <w:pStyle w:val="11"/>
              <w:widowControl w:val="0"/>
              <w:spacing w:line="360" w:lineRule="auto"/>
              <w:rPr>
                <w:rFonts w:hint="eastAsia" w:ascii="宋体" w:hAnsi="宋体" w:cs="宋体"/>
              </w:rPr>
            </w:pPr>
            <w:r>
              <w:rPr>
                <w:rFonts w:hint="eastAsia" w:ascii="宋体" w:hAnsi="宋体" w:cs="宋体"/>
              </w:rPr>
              <w:t>山东省泰安市肥城市桃园镇青兰高速K98+715米南侧</w:t>
            </w:r>
          </w:p>
        </w:tc>
      </w:tr>
      <w:tr w14:paraId="621BF1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A08137D">
            <w:pPr>
              <w:pStyle w:val="11"/>
              <w:widowControl w:val="0"/>
              <w:spacing w:line="360" w:lineRule="auto"/>
              <w:rPr>
                <w:rFonts w:hint="eastAsia" w:ascii="宋体" w:hAnsi="宋体" w:cs="宋体"/>
              </w:rPr>
            </w:pPr>
            <w:r>
              <w:rPr>
                <w:rFonts w:hint="eastAsia" w:ascii="宋体" w:hAnsi="宋体" w:cs="宋体"/>
              </w:rPr>
              <w:t>电话</w:t>
            </w:r>
          </w:p>
        </w:tc>
        <w:tc>
          <w:tcPr>
            <w:tcW w:w="1286" w:type="pct"/>
            <w:gridSpan w:val="2"/>
            <w:vAlign w:val="center"/>
          </w:tcPr>
          <w:p w14:paraId="12E06686">
            <w:pPr>
              <w:pStyle w:val="11"/>
              <w:widowControl w:val="0"/>
              <w:spacing w:line="360" w:lineRule="auto"/>
              <w:rPr>
                <w:rFonts w:hint="eastAsia" w:ascii="宋体" w:hAnsi="宋体" w:cs="宋体"/>
              </w:rPr>
            </w:pPr>
            <w:r>
              <w:rPr>
                <w:rFonts w:hint="eastAsia" w:ascii="宋体" w:hAnsi="宋体" w:cs="宋体"/>
              </w:rPr>
              <w:t>19863854809</w:t>
            </w:r>
          </w:p>
        </w:tc>
        <w:tc>
          <w:tcPr>
            <w:tcW w:w="855" w:type="pct"/>
            <w:gridSpan w:val="3"/>
            <w:vAlign w:val="center"/>
          </w:tcPr>
          <w:p w14:paraId="45C9DA6D">
            <w:pPr>
              <w:pStyle w:val="11"/>
              <w:widowControl w:val="0"/>
              <w:spacing w:line="360" w:lineRule="auto"/>
              <w:rPr>
                <w:rFonts w:hint="eastAsia" w:ascii="宋体" w:hAnsi="宋体" w:cs="宋体"/>
              </w:rPr>
            </w:pPr>
            <w:r>
              <w:rPr>
                <w:rFonts w:hint="eastAsia" w:ascii="宋体" w:hAnsi="宋体" w:cs="宋体"/>
              </w:rPr>
              <w:t>传 真</w:t>
            </w:r>
          </w:p>
        </w:tc>
        <w:tc>
          <w:tcPr>
            <w:tcW w:w="687" w:type="pct"/>
            <w:vAlign w:val="center"/>
          </w:tcPr>
          <w:p w14:paraId="6BCD66D4">
            <w:pPr>
              <w:pStyle w:val="11"/>
              <w:widowControl w:val="0"/>
              <w:spacing w:line="360" w:lineRule="auto"/>
              <w:rPr>
                <w:rFonts w:hint="eastAsia" w:ascii="宋体" w:hAnsi="宋体" w:cs="宋体"/>
              </w:rPr>
            </w:pPr>
            <w:r>
              <w:rPr>
                <w:rFonts w:hint="eastAsia" w:ascii="宋体" w:hAnsi="宋体" w:cs="宋体"/>
              </w:rPr>
              <w:t>—</w:t>
            </w:r>
          </w:p>
        </w:tc>
        <w:tc>
          <w:tcPr>
            <w:tcW w:w="596" w:type="pct"/>
            <w:vAlign w:val="center"/>
          </w:tcPr>
          <w:p w14:paraId="41EECE0C">
            <w:pPr>
              <w:pStyle w:val="11"/>
              <w:widowControl w:val="0"/>
              <w:spacing w:line="360" w:lineRule="auto"/>
              <w:rPr>
                <w:rFonts w:hint="eastAsia" w:ascii="宋体" w:hAnsi="宋体" w:cs="宋体"/>
              </w:rPr>
            </w:pPr>
            <w:r>
              <w:rPr>
                <w:rFonts w:hint="eastAsia" w:ascii="宋体" w:hAnsi="宋体" w:cs="宋体"/>
              </w:rPr>
              <w:t>邮政编码</w:t>
            </w:r>
          </w:p>
        </w:tc>
        <w:tc>
          <w:tcPr>
            <w:tcW w:w="805" w:type="pct"/>
            <w:gridSpan w:val="2"/>
            <w:vAlign w:val="center"/>
          </w:tcPr>
          <w:p w14:paraId="01638618">
            <w:pPr>
              <w:pStyle w:val="11"/>
              <w:widowControl w:val="0"/>
              <w:spacing w:line="360" w:lineRule="auto"/>
              <w:rPr>
                <w:rFonts w:hint="eastAsia" w:ascii="宋体" w:hAnsi="宋体" w:cs="宋体"/>
              </w:rPr>
            </w:pPr>
            <w:r>
              <w:rPr>
                <w:rFonts w:hint="eastAsia" w:ascii="宋体" w:hAnsi="宋体" w:cs="宋体"/>
              </w:rPr>
              <w:t>271600</w:t>
            </w:r>
          </w:p>
        </w:tc>
      </w:tr>
      <w:tr w14:paraId="1E0C1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64FE517C">
            <w:pPr>
              <w:pStyle w:val="11"/>
              <w:widowControl w:val="0"/>
              <w:spacing w:line="360" w:lineRule="auto"/>
              <w:rPr>
                <w:rFonts w:hint="eastAsia" w:ascii="宋体" w:hAnsi="宋体" w:cs="宋体"/>
              </w:rPr>
            </w:pPr>
            <w:r>
              <w:rPr>
                <w:rFonts w:hint="eastAsia" w:ascii="宋体" w:hAnsi="宋体" w:cs="宋体"/>
              </w:rPr>
              <w:t>经营产品</w:t>
            </w:r>
          </w:p>
        </w:tc>
        <w:tc>
          <w:tcPr>
            <w:tcW w:w="4230" w:type="pct"/>
            <w:gridSpan w:val="9"/>
            <w:vAlign w:val="center"/>
          </w:tcPr>
          <w:p w14:paraId="0B88E6D4">
            <w:pPr>
              <w:pStyle w:val="11"/>
              <w:widowControl w:val="0"/>
              <w:spacing w:line="360" w:lineRule="auto"/>
              <w:rPr>
                <w:rFonts w:hint="eastAsia" w:ascii="宋体" w:hAnsi="宋体" w:cs="宋体"/>
              </w:rPr>
            </w:pPr>
            <w:r>
              <w:rPr>
                <w:rFonts w:hint="eastAsia" w:ascii="宋体" w:hAnsi="宋体" w:cs="宋体"/>
              </w:rPr>
              <w:t>汽油（乙醇汽油）、柴油</w:t>
            </w:r>
          </w:p>
        </w:tc>
      </w:tr>
      <w:tr w14:paraId="1922FB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50252D24">
            <w:pPr>
              <w:pStyle w:val="11"/>
              <w:widowControl w:val="0"/>
              <w:spacing w:line="360" w:lineRule="auto"/>
              <w:rPr>
                <w:rFonts w:hint="eastAsia" w:ascii="宋体" w:hAnsi="宋体" w:cs="宋体"/>
              </w:rPr>
            </w:pPr>
            <w:r>
              <w:rPr>
                <w:rFonts w:hint="eastAsia" w:ascii="宋体" w:hAnsi="宋体" w:cs="宋体"/>
              </w:rPr>
              <w:t>登记机关</w:t>
            </w:r>
          </w:p>
        </w:tc>
        <w:tc>
          <w:tcPr>
            <w:tcW w:w="4230" w:type="pct"/>
            <w:gridSpan w:val="9"/>
            <w:vAlign w:val="center"/>
          </w:tcPr>
          <w:p w14:paraId="3D419CA3">
            <w:pPr>
              <w:pStyle w:val="11"/>
              <w:widowControl w:val="0"/>
              <w:spacing w:line="360" w:lineRule="auto"/>
              <w:rPr>
                <w:rFonts w:hint="eastAsia" w:ascii="宋体" w:hAnsi="宋体" w:cs="宋体"/>
              </w:rPr>
            </w:pPr>
            <w:r>
              <w:rPr>
                <w:rFonts w:hint="eastAsia" w:ascii="宋体" w:hAnsi="宋体" w:cs="宋体"/>
              </w:rPr>
              <w:t>肥城市行政审批服务局</w:t>
            </w:r>
          </w:p>
        </w:tc>
      </w:tr>
      <w:tr w14:paraId="5C2281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6E26627F">
            <w:pPr>
              <w:pStyle w:val="11"/>
              <w:widowControl w:val="0"/>
              <w:spacing w:line="360" w:lineRule="auto"/>
              <w:rPr>
                <w:rFonts w:hint="eastAsia" w:ascii="宋体" w:hAnsi="宋体" w:cs="宋体"/>
              </w:rPr>
            </w:pPr>
            <w:r>
              <w:rPr>
                <w:rFonts w:hint="eastAsia" w:ascii="宋体" w:hAnsi="宋体" w:cs="宋体"/>
              </w:rPr>
              <w:t>法人</w:t>
            </w:r>
            <w:r>
              <w:rPr>
                <w:rStyle w:val="5"/>
                <w:rFonts w:hint="eastAsia"/>
              </w:rPr>
              <w:t>代表</w:t>
            </w:r>
          </w:p>
        </w:tc>
        <w:tc>
          <w:tcPr>
            <w:tcW w:w="2041" w:type="pct"/>
            <w:gridSpan w:val="4"/>
            <w:vAlign w:val="center"/>
          </w:tcPr>
          <w:p w14:paraId="519D87F7">
            <w:pPr>
              <w:pStyle w:val="11"/>
              <w:widowControl w:val="0"/>
              <w:spacing w:line="360" w:lineRule="auto"/>
              <w:rPr>
                <w:rFonts w:hint="eastAsia" w:ascii="宋体" w:hAnsi="宋体" w:cs="宋体"/>
              </w:rPr>
            </w:pPr>
            <w:r>
              <w:rPr>
                <w:rFonts w:hint="eastAsia" w:ascii="宋体" w:hAnsi="宋体" w:cs="宋体"/>
              </w:rPr>
              <w:t>俞锋</w:t>
            </w:r>
          </w:p>
        </w:tc>
        <w:tc>
          <w:tcPr>
            <w:tcW w:w="787" w:type="pct"/>
            <w:gridSpan w:val="2"/>
            <w:vAlign w:val="center"/>
          </w:tcPr>
          <w:p w14:paraId="2375E2E1">
            <w:pPr>
              <w:pStyle w:val="11"/>
              <w:widowControl w:val="0"/>
              <w:spacing w:line="360" w:lineRule="auto"/>
              <w:rPr>
                <w:rFonts w:hint="eastAsia" w:ascii="宋体" w:hAnsi="宋体" w:cs="宋体"/>
              </w:rPr>
            </w:pPr>
            <w:r>
              <w:rPr>
                <w:rFonts w:hint="eastAsia" w:ascii="宋体" w:hAnsi="宋体" w:cs="宋体"/>
              </w:rPr>
              <w:t>站长</w:t>
            </w:r>
          </w:p>
        </w:tc>
        <w:tc>
          <w:tcPr>
            <w:tcW w:w="1401" w:type="pct"/>
            <w:gridSpan w:val="3"/>
            <w:vAlign w:val="center"/>
          </w:tcPr>
          <w:p w14:paraId="7C8D8489">
            <w:pPr>
              <w:pStyle w:val="11"/>
              <w:widowControl w:val="0"/>
              <w:spacing w:line="360" w:lineRule="auto"/>
              <w:rPr>
                <w:rFonts w:hint="eastAsia" w:ascii="宋体" w:hAnsi="宋体" w:cs="宋体"/>
              </w:rPr>
            </w:pPr>
            <w:r>
              <w:rPr>
                <w:rFonts w:hint="eastAsia" w:ascii="宋体" w:hAnsi="宋体" w:cs="宋体"/>
              </w:rPr>
              <w:t>王红</w:t>
            </w:r>
          </w:p>
        </w:tc>
      </w:tr>
      <w:tr w14:paraId="44619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2DB071E">
            <w:pPr>
              <w:pStyle w:val="11"/>
              <w:widowControl w:val="0"/>
              <w:spacing w:line="360" w:lineRule="auto"/>
              <w:rPr>
                <w:rFonts w:hint="eastAsia" w:ascii="宋体" w:hAnsi="宋体" w:cs="宋体"/>
              </w:rPr>
            </w:pPr>
            <w:r>
              <w:rPr>
                <w:rFonts w:hint="eastAsia" w:ascii="宋体" w:hAnsi="宋体" w:cs="宋体"/>
              </w:rPr>
              <w:t>职工人数</w:t>
            </w:r>
          </w:p>
        </w:tc>
        <w:tc>
          <w:tcPr>
            <w:tcW w:w="769" w:type="pct"/>
            <w:vAlign w:val="center"/>
          </w:tcPr>
          <w:p w14:paraId="17ACDBB9">
            <w:pPr>
              <w:pStyle w:val="11"/>
              <w:widowControl w:val="0"/>
              <w:spacing w:line="360" w:lineRule="auto"/>
              <w:rPr>
                <w:rFonts w:hint="eastAsia" w:ascii="宋体" w:hAnsi="宋体" w:cs="宋体"/>
              </w:rPr>
            </w:pPr>
            <w:r>
              <w:rPr>
                <w:rFonts w:hint="eastAsia" w:ascii="宋体" w:hAnsi="宋体" w:cs="宋体"/>
              </w:rPr>
              <w:t>4人</w:t>
            </w:r>
          </w:p>
        </w:tc>
        <w:tc>
          <w:tcPr>
            <w:tcW w:w="1271" w:type="pct"/>
            <w:gridSpan w:val="3"/>
            <w:vAlign w:val="center"/>
          </w:tcPr>
          <w:p w14:paraId="5D76092B">
            <w:pPr>
              <w:pStyle w:val="11"/>
              <w:widowControl w:val="0"/>
              <w:spacing w:line="360" w:lineRule="auto"/>
              <w:rPr>
                <w:rFonts w:hint="eastAsia" w:ascii="宋体" w:hAnsi="宋体" w:cs="宋体"/>
              </w:rPr>
            </w:pPr>
            <w:r>
              <w:rPr>
                <w:rFonts w:hint="eastAsia" w:ascii="宋体" w:hAnsi="宋体" w:cs="宋体"/>
              </w:rPr>
              <w:t>站长</w:t>
            </w:r>
          </w:p>
        </w:tc>
        <w:tc>
          <w:tcPr>
            <w:tcW w:w="787" w:type="pct"/>
            <w:gridSpan w:val="2"/>
            <w:vAlign w:val="center"/>
          </w:tcPr>
          <w:p w14:paraId="144AA2F8">
            <w:pPr>
              <w:pStyle w:val="11"/>
              <w:widowControl w:val="0"/>
              <w:spacing w:line="360" w:lineRule="auto"/>
              <w:rPr>
                <w:rFonts w:hint="eastAsia" w:ascii="宋体" w:hAnsi="宋体" w:cs="宋体"/>
              </w:rPr>
            </w:pPr>
            <w:r>
              <w:rPr>
                <w:rFonts w:hint="eastAsia" w:ascii="宋体" w:hAnsi="宋体" w:cs="宋体"/>
              </w:rPr>
              <w:t>1</w:t>
            </w:r>
          </w:p>
        </w:tc>
        <w:tc>
          <w:tcPr>
            <w:tcW w:w="596" w:type="pct"/>
            <w:vAlign w:val="center"/>
          </w:tcPr>
          <w:p w14:paraId="0E5AD099">
            <w:pPr>
              <w:pStyle w:val="11"/>
              <w:widowControl w:val="0"/>
              <w:spacing w:line="360" w:lineRule="auto"/>
              <w:rPr>
                <w:rFonts w:hint="eastAsia" w:ascii="宋体" w:hAnsi="宋体" w:cs="宋体"/>
              </w:rPr>
            </w:pPr>
            <w:r>
              <w:rPr>
                <w:rFonts w:hint="eastAsia" w:ascii="宋体" w:hAnsi="宋体" w:cs="宋体"/>
              </w:rPr>
              <w:t>安全员</w:t>
            </w:r>
          </w:p>
        </w:tc>
        <w:tc>
          <w:tcPr>
            <w:tcW w:w="805" w:type="pct"/>
            <w:gridSpan w:val="2"/>
            <w:vAlign w:val="center"/>
          </w:tcPr>
          <w:p w14:paraId="4D014284">
            <w:pPr>
              <w:pStyle w:val="11"/>
              <w:widowControl w:val="0"/>
              <w:spacing w:line="360" w:lineRule="auto"/>
              <w:rPr>
                <w:rFonts w:hint="eastAsia" w:ascii="宋体" w:hAnsi="宋体" w:cs="宋体"/>
              </w:rPr>
            </w:pPr>
            <w:r>
              <w:rPr>
                <w:rFonts w:hint="eastAsia" w:ascii="宋体" w:hAnsi="宋体" w:cs="宋体"/>
              </w:rPr>
              <w:t>1</w:t>
            </w:r>
          </w:p>
        </w:tc>
      </w:tr>
      <w:tr w14:paraId="13C528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7043852C">
            <w:pPr>
              <w:pStyle w:val="11"/>
              <w:widowControl w:val="0"/>
              <w:spacing w:line="360" w:lineRule="auto"/>
              <w:rPr>
                <w:rFonts w:hint="eastAsia" w:ascii="宋体" w:hAnsi="宋体" w:cs="宋体"/>
                <w:bCs/>
              </w:rPr>
            </w:pPr>
            <w:r>
              <w:rPr>
                <w:rFonts w:hint="eastAsia" w:ascii="宋体" w:hAnsi="宋体" w:cs="宋体"/>
                <w:bCs/>
              </w:rPr>
              <w:t>经营场所</w:t>
            </w:r>
          </w:p>
        </w:tc>
        <w:tc>
          <w:tcPr>
            <w:tcW w:w="769" w:type="pct"/>
            <w:vAlign w:val="center"/>
          </w:tcPr>
          <w:p w14:paraId="6958E823">
            <w:pPr>
              <w:pStyle w:val="11"/>
              <w:widowControl w:val="0"/>
              <w:spacing w:line="360" w:lineRule="auto"/>
              <w:rPr>
                <w:rFonts w:hint="eastAsia" w:ascii="宋体" w:hAnsi="宋体" w:cs="宋体"/>
                <w:bCs/>
              </w:rPr>
            </w:pPr>
            <w:r>
              <w:rPr>
                <w:rFonts w:hint="eastAsia" w:ascii="宋体" w:hAnsi="宋体" w:cs="宋体"/>
                <w:bCs/>
              </w:rPr>
              <w:t>产  权</w:t>
            </w:r>
          </w:p>
        </w:tc>
        <w:tc>
          <w:tcPr>
            <w:tcW w:w="3460" w:type="pct"/>
            <w:gridSpan w:val="8"/>
            <w:vAlign w:val="center"/>
          </w:tcPr>
          <w:p w14:paraId="12CE69FF">
            <w:pPr>
              <w:pStyle w:val="11"/>
              <w:widowControl w:val="0"/>
              <w:spacing w:line="360" w:lineRule="auto"/>
              <w:rPr>
                <w:rFonts w:hint="eastAsia" w:ascii="宋体" w:hAnsi="宋体" w:cs="宋体"/>
                <w:bCs/>
              </w:rPr>
            </w:pPr>
            <w:r>
              <w:rPr>
                <w:rFonts w:hint="eastAsia" w:ascii="宋体" w:hAnsi="宋体" w:cs="宋体"/>
                <w:bCs/>
              </w:rPr>
              <w:t>自有□租赁☑承包□</w:t>
            </w:r>
          </w:p>
        </w:tc>
      </w:tr>
      <w:tr w14:paraId="3B006D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DC15098">
            <w:pPr>
              <w:pStyle w:val="11"/>
              <w:widowControl w:val="0"/>
              <w:spacing w:line="360" w:lineRule="auto"/>
              <w:rPr>
                <w:rFonts w:hint="eastAsia" w:ascii="宋体" w:hAnsi="宋体" w:cs="宋体"/>
                <w:bCs/>
              </w:rPr>
            </w:pPr>
          </w:p>
        </w:tc>
        <w:tc>
          <w:tcPr>
            <w:tcW w:w="769" w:type="pct"/>
            <w:vAlign w:val="center"/>
          </w:tcPr>
          <w:p w14:paraId="4C3D87EC">
            <w:pPr>
              <w:pStyle w:val="11"/>
              <w:widowControl w:val="0"/>
              <w:spacing w:line="360" w:lineRule="auto"/>
              <w:rPr>
                <w:rFonts w:hint="eastAsia" w:ascii="宋体" w:hAnsi="宋体" w:cs="宋体"/>
                <w:bCs/>
              </w:rPr>
            </w:pPr>
            <w:r>
              <w:rPr>
                <w:rFonts w:hint="eastAsia" w:ascii="宋体" w:hAnsi="宋体" w:cs="宋体"/>
                <w:bCs/>
              </w:rPr>
              <w:t>站房面积</w:t>
            </w:r>
          </w:p>
        </w:tc>
        <w:tc>
          <w:tcPr>
            <w:tcW w:w="584" w:type="pct"/>
            <w:gridSpan w:val="2"/>
            <w:vAlign w:val="center"/>
          </w:tcPr>
          <w:p w14:paraId="6F94451E">
            <w:pPr>
              <w:pStyle w:val="11"/>
              <w:widowControl w:val="0"/>
              <w:spacing w:line="360" w:lineRule="auto"/>
              <w:rPr>
                <w:rFonts w:hint="eastAsia" w:ascii="宋体" w:hAnsi="宋体" w:cs="宋体"/>
                <w:highlight w:val="yellow"/>
              </w:rPr>
            </w:pPr>
            <w:r>
              <w:rPr>
                <w:rFonts w:hint="eastAsia" w:ascii="宋体" w:hAnsi="宋体" w:cs="宋体"/>
                <w:bCs/>
              </w:rPr>
              <w:t>278.85m</w:t>
            </w:r>
            <w:r>
              <w:rPr>
                <w:rFonts w:hint="eastAsia" w:ascii="宋体" w:hAnsi="宋体" w:cs="宋体"/>
                <w:bCs/>
                <w:vertAlign w:val="superscript"/>
              </w:rPr>
              <w:t>2</w:t>
            </w:r>
          </w:p>
        </w:tc>
        <w:tc>
          <w:tcPr>
            <w:tcW w:w="687" w:type="pct"/>
            <w:vAlign w:val="center"/>
          </w:tcPr>
          <w:p w14:paraId="262C8EAE">
            <w:pPr>
              <w:pStyle w:val="11"/>
              <w:widowControl w:val="0"/>
              <w:spacing w:line="360" w:lineRule="auto"/>
              <w:rPr>
                <w:rFonts w:hint="eastAsia" w:ascii="宋体" w:hAnsi="宋体" w:cs="宋体"/>
              </w:rPr>
            </w:pPr>
            <w:r>
              <w:rPr>
                <w:rFonts w:hint="eastAsia" w:ascii="宋体" w:hAnsi="宋体" w:cs="宋体"/>
              </w:rPr>
              <w:t>罩棚面积</w:t>
            </w:r>
          </w:p>
        </w:tc>
        <w:tc>
          <w:tcPr>
            <w:tcW w:w="787" w:type="pct"/>
            <w:gridSpan w:val="2"/>
            <w:vAlign w:val="center"/>
          </w:tcPr>
          <w:p w14:paraId="166A6994">
            <w:pPr>
              <w:pStyle w:val="11"/>
              <w:widowControl w:val="0"/>
              <w:spacing w:line="360" w:lineRule="auto"/>
              <w:rPr>
                <w:rFonts w:hint="eastAsia" w:ascii="宋体" w:hAnsi="宋体" w:cs="宋体"/>
              </w:rPr>
            </w:pPr>
            <w:r>
              <w:rPr>
                <w:rFonts w:hint="eastAsia" w:ascii="宋体" w:hAnsi="宋体" w:cs="宋体"/>
                <w:bCs/>
              </w:rPr>
              <w:t>1732.29m</w:t>
            </w:r>
            <w:r>
              <w:rPr>
                <w:rFonts w:hint="eastAsia" w:ascii="宋体" w:hAnsi="宋体" w:cs="宋体"/>
                <w:bCs/>
                <w:vertAlign w:val="superscript"/>
              </w:rPr>
              <w:t>2</w:t>
            </w:r>
          </w:p>
        </w:tc>
        <w:tc>
          <w:tcPr>
            <w:tcW w:w="596" w:type="pct"/>
            <w:vAlign w:val="center"/>
          </w:tcPr>
          <w:p w14:paraId="0B61075E">
            <w:pPr>
              <w:pStyle w:val="11"/>
              <w:widowControl w:val="0"/>
              <w:spacing w:line="360" w:lineRule="auto"/>
              <w:rPr>
                <w:rFonts w:hint="eastAsia" w:ascii="宋体" w:hAnsi="宋体" w:cs="宋体"/>
              </w:rPr>
            </w:pPr>
            <w:r>
              <w:rPr>
                <w:rFonts w:hint="eastAsia" w:ascii="宋体" w:hAnsi="宋体" w:cs="宋体"/>
              </w:rPr>
              <w:t>罩棚高度</w:t>
            </w:r>
          </w:p>
        </w:tc>
        <w:tc>
          <w:tcPr>
            <w:tcW w:w="805" w:type="pct"/>
            <w:gridSpan w:val="2"/>
            <w:vAlign w:val="center"/>
          </w:tcPr>
          <w:p w14:paraId="24646842">
            <w:pPr>
              <w:pStyle w:val="11"/>
              <w:widowControl w:val="0"/>
              <w:spacing w:line="360" w:lineRule="auto"/>
              <w:rPr>
                <w:rFonts w:hint="eastAsia" w:ascii="宋体" w:hAnsi="宋体" w:cs="宋体"/>
              </w:rPr>
            </w:pPr>
            <w:r>
              <w:rPr>
                <w:rFonts w:hint="eastAsia" w:ascii="宋体" w:hAnsi="宋体" w:cs="宋体"/>
              </w:rPr>
              <w:t>7.7m</w:t>
            </w:r>
          </w:p>
        </w:tc>
      </w:tr>
      <w:tr w14:paraId="33410B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1A857DDB">
            <w:pPr>
              <w:pStyle w:val="11"/>
              <w:widowControl w:val="0"/>
              <w:spacing w:line="360" w:lineRule="auto"/>
              <w:rPr>
                <w:rFonts w:hint="eastAsia" w:ascii="宋体" w:hAnsi="宋体" w:cs="宋体"/>
                <w:bCs/>
              </w:rPr>
            </w:pPr>
            <w:r>
              <w:rPr>
                <w:rFonts w:hint="eastAsia" w:ascii="宋体" w:hAnsi="宋体" w:cs="宋体"/>
                <w:bCs/>
              </w:rPr>
              <w:t>储存设施</w:t>
            </w:r>
          </w:p>
        </w:tc>
        <w:tc>
          <w:tcPr>
            <w:tcW w:w="769" w:type="pct"/>
            <w:vAlign w:val="center"/>
          </w:tcPr>
          <w:p w14:paraId="0E39F7DA">
            <w:pPr>
              <w:pStyle w:val="11"/>
              <w:widowControl w:val="0"/>
              <w:spacing w:line="360" w:lineRule="auto"/>
              <w:rPr>
                <w:rFonts w:hint="eastAsia" w:ascii="宋体" w:hAnsi="宋体" w:cs="宋体"/>
                <w:bCs/>
              </w:rPr>
            </w:pPr>
            <w:r>
              <w:rPr>
                <w:rFonts w:hint="eastAsia" w:ascii="宋体" w:hAnsi="宋体" w:cs="宋体"/>
                <w:bCs/>
              </w:rPr>
              <w:t>汽油</w:t>
            </w:r>
          </w:p>
        </w:tc>
        <w:tc>
          <w:tcPr>
            <w:tcW w:w="2059" w:type="pct"/>
            <w:gridSpan w:val="5"/>
            <w:vAlign w:val="center"/>
          </w:tcPr>
          <w:p w14:paraId="60E62FFF">
            <w:pPr>
              <w:pStyle w:val="11"/>
              <w:widowControl w:val="0"/>
              <w:spacing w:line="360" w:lineRule="auto"/>
              <w:rPr>
                <w:rFonts w:hint="eastAsia" w:ascii="宋体" w:hAnsi="宋体" w:cs="宋体"/>
                <w:bCs/>
              </w:rPr>
            </w:pPr>
            <w:r>
              <w:rPr>
                <w:rFonts w:hint="eastAsia" w:ascii="宋体" w:hAnsi="宋体" w:cs="宋体"/>
                <w:bCs/>
              </w:rPr>
              <w:t>共4个汽油罐，2个罐容积为</w:t>
            </w:r>
            <w:r>
              <w:rPr>
                <w:rFonts w:hint="eastAsia" w:ascii="宋体" w:hAnsi="宋体" w:cs="宋体"/>
                <w:bCs/>
                <w:u w:val="single"/>
              </w:rPr>
              <w:t xml:space="preserve"> 30 </w:t>
            </w:r>
            <w:r>
              <w:rPr>
                <w:rFonts w:hint="eastAsia" w:ascii="宋体" w:hAnsi="宋体" w:cs="宋体"/>
                <w:bCs/>
              </w:rPr>
              <w:t>m³，</w:t>
            </w:r>
          </w:p>
          <w:p w14:paraId="79CC469D">
            <w:pPr>
              <w:pStyle w:val="11"/>
              <w:widowControl w:val="0"/>
              <w:spacing w:line="360" w:lineRule="auto"/>
              <w:rPr>
                <w:rFonts w:hint="eastAsia" w:ascii="宋体" w:hAnsi="宋体" w:cs="宋体"/>
                <w:bCs/>
              </w:rPr>
            </w:pPr>
            <w:r>
              <w:rPr>
                <w:rFonts w:hint="eastAsia" w:ascii="宋体" w:hAnsi="宋体" w:cs="宋体"/>
                <w:bCs/>
              </w:rPr>
              <w:t xml:space="preserve">            2个罐容积为</w:t>
            </w:r>
            <w:r>
              <w:rPr>
                <w:rFonts w:hint="eastAsia" w:ascii="宋体" w:hAnsi="宋体" w:cs="宋体"/>
                <w:bCs/>
                <w:u w:val="single"/>
              </w:rPr>
              <w:t xml:space="preserve"> 50 </w:t>
            </w:r>
            <w:r>
              <w:rPr>
                <w:rFonts w:hint="eastAsia" w:ascii="宋体" w:hAnsi="宋体" w:cs="宋体"/>
                <w:bCs/>
              </w:rPr>
              <w:t>m³</w:t>
            </w:r>
          </w:p>
        </w:tc>
        <w:tc>
          <w:tcPr>
            <w:tcW w:w="1401" w:type="pct"/>
            <w:gridSpan w:val="3"/>
            <w:vMerge w:val="restart"/>
            <w:vAlign w:val="center"/>
          </w:tcPr>
          <w:p w14:paraId="2CBDF457">
            <w:pPr>
              <w:pStyle w:val="11"/>
              <w:widowControl w:val="0"/>
              <w:snapToGrid w:val="0"/>
              <w:spacing w:line="240" w:lineRule="auto"/>
              <w:rPr>
                <w:rStyle w:val="5"/>
                <w:rFonts w:hint="eastAsia" w:ascii="宋体" w:hAnsi="宋体" w:cs="宋体"/>
              </w:rPr>
            </w:pPr>
            <w:r>
              <w:rPr>
                <w:rFonts w:hint="eastAsia" w:ascii="宋体" w:hAnsi="宋体" w:cs="宋体"/>
                <w:bCs/>
              </w:rPr>
              <w:t>是否为双层罐：是☑否□</w:t>
            </w:r>
          </w:p>
          <w:p w14:paraId="0E537876">
            <w:pPr>
              <w:pStyle w:val="11"/>
              <w:widowControl w:val="0"/>
              <w:snapToGrid w:val="0"/>
              <w:spacing w:line="240" w:lineRule="auto"/>
              <w:rPr>
                <w:rFonts w:hint="eastAsia" w:ascii="宋体" w:hAnsi="宋体" w:cs="宋体"/>
                <w:vertAlign w:val="superscript"/>
              </w:rPr>
            </w:pPr>
            <w:r>
              <w:rPr>
                <w:rFonts w:hint="eastAsia" w:ascii="宋体" w:hAnsi="宋体" w:cs="宋体"/>
              </w:rPr>
              <w:t>储存能力：260</w:t>
            </w:r>
            <w:r>
              <w:rPr>
                <w:rFonts w:hint="eastAsia" w:ascii="宋体" w:hAnsi="宋体" w:cs="宋体"/>
                <w:bCs/>
              </w:rPr>
              <w:t>m</w:t>
            </w:r>
            <w:r>
              <w:rPr>
                <w:rFonts w:hint="eastAsia" w:ascii="宋体" w:hAnsi="宋体" w:cs="宋体"/>
                <w:vertAlign w:val="superscript"/>
              </w:rPr>
              <w:t>3</w:t>
            </w:r>
          </w:p>
        </w:tc>
      </w:tr>
      <w:tr w14:paraId="7E0BC3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6174553F">
            <w:pPr>
              <w:pStyle w:val="11"/>
              <w:widowControl w:val="0"/>
              <w:spacing w:line="360" w:lineRule="auto"/>
              <w:rPr>
                <w:rFonts w:hint="eastAsia" w:ascii="宋体" w:hAnsi="宋体" w:cs="宋体"/>
                <w:bCs/>
              </w:rPr>
            </w:pPr>
          </w:p>
        </w:tc>
        <w:tc>
          <w:tcPr>
            <w:tcW w:w="769" w:type="pct"/>
            <w:vAlign w:val="center"/>
          </w:tcPr>
          <w:p w14:paraId="46F74846">
            <w:pPr>
              <w:pStyle w:val="11"/>
              <w:widowControl w:val="0"/>
              <w:spacing w:line="360" w:lineRule="auto"/>
              <w:rPr>
                <w:rFonts w:hint="eastAsia" w:ascii="宋体" w:hAnsi="宋体" w:cs="宋体"/>
                <w:bCs/>
              </w:rPr>
            </w:pPr>
            <w:r>
              <w:rPr>
                <w:rFonts w:hint="eastAsia" w:ascii="宋体" w:hAnsi="宋体" w:cs="宋体"/>
                <w:bCs/>
              </w:rPr>
              <w:t>柴油</w:t>
            </w:r>
          </w:p>
        </w:tc>
        <w:tc>
          <w:tcPr>
            <w:tcW w:w="2059" w:type="pct"/>
            <w:gridSpan w:val="5"/>
            <w:vAlign w:val="center"/>
          </w:tcPr>
          <w:p w14:paraId="179C7EF9">
            <w:pPr>
              <w:pStyle w:val="11"/>
              <w:widowControl w:val="0"/>
              <w:spacing w:line="360" w:lineRule="auto"/>
              <w:rPr>
                <w:rFonts w:hint="eastAsia" w:ascii="宋体" w:hAnsi="宋体" w:cs="宋体"/>
                <w:bCs/>
              </w:rPr>
            </w:pPr>
            <w:r>
              <w:rPr>
                <w:rFonts w:hint="eastAsia" w:ascii="宋体" w:hAnsi="宋体" w:cs="宋体"/>
                <w:bCs/>
              </w:rPr>
              <w:t>共2个柴油罐，每罐容积为</w:t>
            </w:r>
            <w:r>
              <w:rPr>
                <w:rFonts w:hint="eastAsia" w:ascii="宋体" w:hAnsi="宋体" w:cs="宋体"/>
                <w:bCs/>
                <w:u w:val="single"/>
              </w:rPr>
              <w:t xml:space="preserve"> 50 </w:t>
            </w:r>
            <w:r>
              <w:rPr>
                <w:rFonts w:hint="eastAsia" w:ascii="宋体" w:hAnsi="宋体" w:cs="宋体"/>
                <w:bCs/>
              </w:rPr>
              <w:t>m³</w:t>
            </w:r>
          </w:p>
        </w:tc>
        <w:tc>
          <w:tcPr>
            <w:tcW w:w="1401" w:type="pct"/>
            <w:gridSpan w:val="3"/>
            <w:vMerge w:val="continue"/>
            <w:vAlign w:val="center"/>
          </w:tcPr>
          <w:p w14:paraId="69BFCC41">
            <w:pPr>
              <w:pStyle w:val="11"/>
              <w:widowControl w:val="0"/>
              <w:spacing w:line="360" w:lineRule="auto"/>
              <w:rPr>
                <w:rFonts w:hint="eastAsia" w:ascii="宋体" w:hAnsi="宋体" w:cs="宋体"/>
                <w:bCs/>
              </w:rPr>
            </w:pPr>
          </w:p>
        </w:tc>
      </w:tr>
      <w:tr w14:paraId="500985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24575F24">
            <w:pPr>
              <w:pStyle w:val="11"/>
              <w:widowControl w:val="0"/>
              <w:spacing w:line="360" w:lineRule="auto"/>
              <w:rPr>
                <w:rFonts w:hint="eastAsia" w:ascii="宋体" w:hAnsi="宋体" w:cs="宋体"/>
                <w:bCs/>
              </w:rPr>
            </w:pPr>
            <w:r>
              <w:rPr>
                <w:rFonts w:hint="eastAsia" w:ascii="宋体" w:hAnsi="宋体" w:cs="宋体"/>
                <w:bCs/>
              </w:rPr>
              <w:t>加油设施</w:t>
            </w:r>
          </w:p>
        </w:tc>
        <w:tc>
          <w:tcPr>
            <w:tcW w:w="769" w:type="pct"/>
            <w:vAlign w:val="center"/>
          </w:tcPr>
          <w:p w14:paraId="46E99B8E">
            <w:pPr>
              <w:pStyle w:val="11"/>
              <w:widowControl w:val="0"/>
              <w:spacing w:line="360" w:lineRule="auto"/>
              <w:rPr>
                <w:rFonts w:hint="eastAsia" w:ascii="宋体" w:hAnsi="宋体" w:cs="宋体"/>
                <w:bCs/>
              </w:rPr>
            </w:pPr>
            <w:r>
              <w:rPr>
                <w:rFonts w:hint="eastAsia" w:ascii="宋体" w:hAnsi="宋体" w:cs="宋体"/>
                <w:bCs/>
              </w:rPr>
              <w:t>加油机</w:t>
            </w:r>
          </w:p>
        </w:tc>
        <w:tc>
          <w:tcPr>
            <w:tcW w:w="3460" w:type="pct"/>
            <w:gridSpan w:val="8"/>
            <w:vAlign w:val="center"/>
          </w:tcPr>
          <w:p w14:paraId="0B016843">
            <w:pPr>
              <w:pStyle w:val="11"/>
              <w:widowControl w:val="0"/>
              <w:spacing w:line="360" w:lineRule="auto"/>
              <w:rPr>
                <w:rFonts w:hint="eastAsia" w:ascii="宋体" w:hAnsi="宋体" w:cs="宋体"/>
                <w:bCs/>
              </w:rPr>
            </w:pPr>
            <w:r>
              <w:rPr>
                <w:rFonts w:hint="eastAsia" w:ascii="宋体" w:hAnsi="宋体" w:cs="宋体"/>
                <w:bCs/>
              </w:rPr>
              <w:t>8台双枪单油品加油机,4台四枪双油品加油机</w:t>
            </w:r>
          </w:p>
        </w:tc>
      </w:tr>
      <w:tr w14:paraId="5FCC99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184E3560">
            <w:pPr>
              <w:pStyle w:val="11"/>
              <w:widowControl w:val="0"/>
              <w:spacing w:line="360" w:lineRule="auto"/>
              <w:rPr>
                <w:rFonts w:hint="eastAsia" w:ascii="宋体" w:hAnsi="宋体" w:cs="宋体"/>
                <w:bCs/>
              </w:rPr>
            </w:pPr>
          </w:p>
        </w:tc>
        <w:tc>
          <w:tcPr>
            <w:tcW w:w="769" w:type="pct"/>
            <w:vAlign w:val="center"/>
          </w:tcPr>
          <w:p w14:paraId="0B626FA2">
            <w:pPr>
              <w:pStyle w:val="11"/>
              <w:widowControl w:val="0"/>
              <w:spacing w:line="360" w:lineRule="auto"/>
              <w:rPr>
                <w:rFonts w:hint="eastAsia" w:ascii="宋体" w:hAnsi="宋体" w:cs="宋体"/>
                <w:bCs/>
              </w:rPr>
            </w:pPr>
            <w:r>
              <w:rPr>
                <w:rFonts w:hint="eastAsia" w:ascii="宋体" w:hAnsi="宋体" w:cs="宋体"/>
                <w:bCs/>
              </w:rPr>
              <w:t>加油方式</w:t>
            </w:r>
          </w:p>
        </w:tc>
        <w:tc>
          <w:tcPr>
            <w:tcW w:w="3460" w:type="pct"/>
            <w:gridSpan w:val="8"/>
            <w:vAlign w:val="center"/>
          </w:tcPr>
          <w:p w14:paraId="5A613F77">
            <w:pPr>
              <w:pStyle w:val="11"/>
              <w:widowControl w:val="0"/>
              <w:spacing w:line="360" w:lineRule="auto"/>
              <w:rPr>
                <w:rFonts w:hint="eastAsia" w:ascii="宋体" w:hAnsi="宋体" w:cs="宋体"/>
                <w:bCs/>
              </w:rPr>
            </w:pPr>
            <w:r>
              <w:rPr>
                <w:rFonts w:hint="eastAsia" w:ascii="宋体" w:hAnsi="宋体" w:cs="宋体"/>
                <w:bCs/>
              </w:rPr>
              <w:t>潜油泵式☑ 自吸式□</w:t>
            </w:r>
          </w:p>
        </w:tc>
      </w:tr>
      <w:tr w14:paraId="349C82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471AC20E">
            <w:pPr>
              <w:pStyle w:val="11"/>
              <w:widowControl w:val="0"/>
              <w:spacing w:line="360" w:lineRule="auto"/>
              <w:rPr>
                <w:rFonts w:hint="eastAsia" w:ascii="宋体" w:hAnsi="宋体" w:cs="宋体"/>
                <w:bCs/>
              </w:rPr>
            </w:pPr>
            <w:r>
              <w:rPr>
                <w:rFonts w:hint="eastAsia" w:ascii="宋体" w:hAnsi="宋体" w:cs="宋体"/>
                <w:bCs/>
              </w:rPr>
              <w:t>消防设施</w:t>
            </w:r>
          </w:p>
        </w:tc>
        <w:tc>
          <w:tcPr>
            <w:tcW w:w="769" w:type="pct"/>
            <w:vAlign w:val="center"/>
          </w:tcPr>
          <w:p w14:paraId="689368BA">
            <w:pPr>
              <w:pStyle w:val="11"/>
              <w:widowControl w:val="0"/>
              <w:spacing w:line="360" w:lineRule="auto"/>
              <w:rPr>
                <w:rFonts w:hint="eastAsia" w:ascii="宋体" w:hAnsi="宋体" w:cs="宋体"/>
                <w:bCs/>
              </w:rPr>
            </w:pPr>
            <w:r>
              <w:rPr>
                <w:rFonts w:hint="eastAsia" w:ascii="宋体" w:hAnsi="宋体" w:cs="宋体"/>
                <w:bCs/>
              </w:rPr>
              <w:t>推车式35</w:t>
            </w:r>
            <w:r>
              <w:rPr>
                <w:rFonts w:hint="eastAsia" w:ascii="宋体" w:hAnsi="宋体" w:cs="宋体"/>
              </w:rPr>
              <w:t xml:space="preserve"> kg</w:t>
            </w:r>
            <w:r>
              <w:rPr>
                <w:rFonts w:hint="eastAsia" w:ascii="宋体" w:hAnsi="宋体" w:cs="宋体"/>
                <w:bCs/>
              </w:rPr>
              <w:t>干粉灭火器</w:t>
            </w:r>
          </w:p>
        </w:tc>
        <w:tc>
          <w:tcPr>
            <w:tcW w:w="584" w:type="pct"/>
            <w:gridSpan w:val="2"/>
            <w:vAlign w:val="center"/>
          </w:tcPr>
          <w:p w14:paraId="7A259902">
            <w:pPr>
              <w:pStyle w:val="11"/>
              <w:widowControl w:val="0"/>
              <w:spacing w:line="360" w:lineRule="auto"/>
              <w:rPr>
                <w:rFonts w:hint="eastAsia" w:ascii="宋体" w:hAnsi="宋体" w:cs="宋体"/>
                <w:bCs/>
              </w:rPr>
            </w:pPr>
            <w:r>
              <w:rPr>
                <w:rFonts w:hint="eastAsia" w:ascii="宋体" w:hAnsi="宋体" w:cs="宋体"/>
                <w:bCs/>
              </w:rPr>
              <w:t>6具</w:t>
            </w:r>
          </w:p>
        </w:tc>
        <w:tc>
          <w:tcPr>
            <w:tcW w:w="687" w:type="pct"/>
            <w:vAlign w:val="center"/>
          </w:tcPr>
          <w:p w14:paraId="0F6BE215">
            <w:pPr>
              <w:pStyle w:val="11"/>
              <w:widowControl w:val="0"/>
              <w:spacing w:line="360" w:lineRule="auto"/>
              <w:rPr>
                <w:rFonts w:hint="eastAsia" w:ascii="宋体" w:hAnsi="宋体" w:cs="宋体"/>
                <w:bCs/>
              </w:rPr>
            </w:pPr>
            <w:r>
              <w:rPr>
                <w:rFonts w:hint="eastAsia" w:ascii="宋体" w:hAnsi="宋体" w:cs="宋体"/>
                <w:bCs/>
              </w:rPr>
              <w:t>8kg手提式干粉灭火器</w:t>
            </w:r>
          </w:p>
        </w:tc>
        <w:tc>
          <w:tcPr>
            <w:tcW w:w="787" w:type="pct"/>
            <w:gridSpan w:val="2"/>
            <w:vAlign w:val="center"/>
          </w:tcPr>
          <w:p w14:paraId="38CCF8F3">
            <w:pPr>
              <w:pStyle w:val="11"/>
              <w:widowControl w:val="0"/>
              <w:spacing w:line="360" w:lineRule="auto"/>
              <w:rPr>
                <w:rFonts w:hint="eastAsia" w:ascii="宋体" w:hAnsi="宋体" w:cs="宋体"/>
              </w:rPr>
            </w:pPr>
            <w:r>
              <w:rPr>
                <w:rFonts w:hint="eastAsia" w:ascii="宋体" w:hAnsi="宋体" w:cs="宋体"/>
              </w:rPr>
              <w:t>30具</w:t>
            </w:r>
          </w:p>
        </w:tc>
        <w:tc>
          <w:tcPr>
            <w:tcW w:w="684" w:type="pct"/>
            <w:gridSpan w:val="2"/>
            <w:vAlign w:val="center"/>
          </w:tcPr>
          <w:p w14:paraId="2A775A65">
            <w:pPr>
              <w:pStyle w:val="11"/>
              <w:widowControl w:val="0"/>
              <w:spacing w:line="360" w:lineRule="auto"/>
              <w:rPr>
                <w:rFonts w:hint="eastAsia" w:ascii="宋体" w:hAnsi="宋体" w:cs="宋体"/>
                <w:bCs/>
              </w:rPr>
            </w:pPr>
            <w:r>
              <w:rPr>
                <w:rFonts w:hint="eastAsia" w:ascii="宋体" w:hAnsi="宋体" w:cs="宋体"/>
                <w:bCs/>
              </w:rPr>
              <w:t>CO</w:t>
            </w:r>
            <w:r>
              <w:rPr>
                <w:rFonts w:hint="eastAsia" w:ascii="宋体" w:hAnsi="宋体" w:cs="宋体"/>
                <w:bCs/>
                <w:vertAlign w:val="subscript"/>
              </w:rPr>
              <w:t>2</w:t>
            </w:r>
            <w:r>
              <w:rPr>
                <w:rFonts w:hint="eastAsia" w:ascii="宋体" w:hAnsi="宋体" w:cs="宋体"/>
                <w:bCs/>
              </w:rPr>
              <w:t>灭火器</w:t>
            </w:r>
          </w:p>
        </w:tc>
        <w:tc>
          <w:tcPr>
            <w:tcW w:w="717" w:type="pct"/>
            <w:vAlign w:val="center"/>
          </w:tcPr>
          <w:p w14:paraId="3FD39F8C">
            <w:pPr>
              <w:pStyle w:val="11"/>
              <w:widowControl w:val="0"/>
              <w:spacing w:line="360" w:lineRule="auto"/>
              <w:rPr>
                <w:rFonts w:hint="eastAsia" w:ascii="宋体" w:hAnsi="宋体" w:cs="宋体"/>
                <w:bCs/>
              </w:rPr>
            </w:pPr>
            <w:r>
              <w:rPr>
                <w:rFonts w:hint="eastAsia" w:ascii="宋体" w:hAnsi="宋体" w:cs="宋体"/>
                <w:bCs/>
              </w:rPr>
              <w:t>3具</w:t>
            </w:r>
          </w:p>
        </w:tc>
      </w:tr>
      <w:tr w14:paraId="33F35A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3584385">
            <w:pPr>
              <w:pStyle w:val="11"/>
              <w:widowControl w:val="0"/>
              <w:spacing w:line="360" w:lineRule="auto"/>
              <w:rPr>
                <w:rFonts w:hint="eastAsia" w:ascii="宋体" w:hAnsi="宋体" w:cs="宋体"/>
                <w:bCs/>
              </w:rPr>
            </w:pPr>
          </w:p>
        </w:tc>
        <w:tc>
          <w:tcPr>
            <w:tcW w:w="769" w:type="pct"/>
            <w:vAlign w:val="center"/>
          </w:tcPr>
          <w:p w14:paraId="1C233BB5">
            <w:pPr>
              <w:pStyle w:val="11"/>
              <w:widowControl w:val="0"/>
              <w:spacing w:line="360" w:lineRule="auto"/>
              <w:rPr>
                <w:rFonts w:hint="eastAsia" w:ascii="宋体" w:hAnsi="宋体" w:cs="宋体"/>
                <w:bCs/>
              </w:rPr>
            </w:pPr>
            <w:r>
              <w:rPr>
                <w:rFonts w:hint="eastAsia" w:ascii="宋体" w:hAnsi="宋体" w:cs="宋体"/>
                <w:bCs/>
              </w:rPr>
              <w:t>灭火毯</w:t>
            </w:r>
          </w:p>
        </w:tc>
        <w:tc>
          <w:tcPr>
            <w:tcW w:w="584" w:type="pct"/>
            <w:gridSpan w:val="2"/>
            <w:vAlign w:val="center"/>
          </w:tcPr>
          <w:p w14:paraId="0EB641EF">
            <w:pPr>
              <w:pStyle w:val="11"/>
              <w:widowControl w:val="0"/>
              <w:spacing w:line="360" w:lineRule="auto"/>
              <w:rPr>
                <w:rFonts w:hint="eastAsia" w:ascii="宋体" w:hAnsi="宋体" w:cs="宋体"/>
                <w:bCs/>
              </w:rPr>
            </w:pPr>
            <w:r>
              <w:rPr>
                <w:rFonts w:hint="eastAsia" w:ascii="宋体" w:hAnsi="宋体" w:cs="宋体"/>
                <w:bCs/>
              </w:rPr>
              <w:t>14块</w:t>
            </w:r>
          </w:p>
        </w:tc>
        <w:tc>
          <w:tcPr>
            <w:tcW w:w="687" w:type="pct"/>
            <w:vAlign w:val="center"/>
          </w:tcPr>
          <w:p w14:paraId="010C23A0">
            <w:pPr>
              <w:pStyle w:val="11"/>
              <w:widowControl w:val="0"/>
              <w:spacing w:line="360" w:lineRule="auto"/>
              <w:rPr>
                <w:rFonts w:hint="eastAsia" w:ascii="宋体" w:hAnsi="宋体" w:cs="宋体"/>
                <w:bCs/>
              </w:rPr>
            </w:pPr>
            <w:r>
              <w:rPr>
                <w:rFonts w:hint="eastAsia" w:ascii="宋体" w:hAnsi="宋体" w:cs="宋体"/>
                <w:bCs/>
              </w:rPr>
              <w:t>消防锨</w:t>
            </w:r>
          </w:p>
        </w:tc>
        <w:tc>
          <w:tcPr>
            <w:tcW w:w="787" w:type="pct"/>
            <w:gridSpan w:val="2"/>
            <w:vAlign w:val="center"/>
          </w:tcPr>
          <w:p w14:paraId="49BF74A3">
            <w:pPr>
              <w:pStyle w:val="11"/>
              <w:widowControl w:val="0"/>
              <w:spacing w:line="360" w:lineRule="auto"/>
              <w:rPr>
                <w:rFonts w:hint="eastAsia" w:ascii="宋体" w:hAnsi="宋体" w:cs="宋体"/>
                <w:bCs/>
              </w:rPr>
            </w:pPr>
            <w:r>
              <w:rPr>
                <w:rFonts w:hint="eastAsia" w:ascii="宋体" w:hAnsi="宋体" w:cs="宋体"/>
                <w:bCs/>
              </w:rPr>
              <w:t>6把</w:t>
            </w:r>
          </w:p>
        </w:tc>
        <w:tc>
          <w:tcPr>
            <w:tcW w:w="684" w:type="pct"/>
            <w:gridSpan w:val="2"/>
            <w:vAlign w:val="center"/>
          </w:tcPr>
          <w:p w14:paraId="50EA5DF1">
            <w:pPr>
              <w:pStyle w:val="11"/>
              <w:widowControl w:val="0"/>
              <w:spacing w:line="360" w:lineRule="auto"/>
              <w:rPr>
                <w:rFonts w:hint="eastAsia" w:ascii="宋体" w:hAnsi="宋体" w:cs="宋体"/>
                <w:bCs/>
              </w:rPr>
            </w:pPr>
            <w:r>
              <w:rPr>
                <w:rFonts w:hint="eastAsia" w:ascii="宋体" w:hAnsi="宋体" w:cs="宋体"/>
                <w:bCs/>
              </w:rPr>
              <w:t>消防桶</w:t>
            </w:r>
          </w:p>
        </w:tc>
        <w:tc>
          <w:tcPr>
            <w:tcW w:w="717" w:type="pct"/>
            <w:vAlign w:val="center"/>
          </w:tcPr>
          <w:p w14:paraId="4A22CBDB">
            <w:pPr>
              <w:pStyle w:val="11"/>
              <w:widowControl w:val="0"/>
              <w:spacing w:line="360" w:lineRule="auto"/>
              <w:rPr>
                <w:rFonts w:hint="eastAsia" w:ascii="宋体" w:hAnsi="宋体" w:cs="宋体"/>
                <w:bCs/>
              </w:rPr>
            </w:pPr>
            <w:r>
              <w:rPr>
                <w:rFonts w:hint="eastAsia" w:ascii="宋体" w:hAnsi="宋体" w:cs="宋体"/>
                <w:bCs/>
              </w:rPr>
              <w:t>6个</w:t>
            </w:r>
          </w:p>
        </w:tc>
      </w:tr>
      <w:tr w14:paraId="2187AE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19D8B8AA">
            <w:pPr>
              <w:pStyle w:val="11"/>
              <w:widowControl w:val="0"/>
              <w:spacing w:line="360" w:lineRule="auto"/>
              <w:rPr>
                <w:rFonts w:hint="eastAsia" w:ascii="宋体" w:hAnsi="宋体" w:cs="宋体"/>
                <w:bCs/>
              </w:rPr>
            </w:pPr>
          </w:p>
        </w:tc>
        <w:tc>
          <w:tcPr>
            <w:tcW w:w="769" w:type="pct"/>
            <w:vAlign w:val="center"/>
          </w:tcPr>
          <w:p w14:paraId="2A310C94">
            <w:pPr>
              <w:pStyle w:val="11"/>
              <w:widowControl w:val="0"/>
              <w:spacing w:line="360" w:lineRule="auto"/>
              <w:rPr>
                <w:rFonts w:hint="eastAsia" w:ascii="宋体" w:hAnsi="宋体" w:cs="宋体"/>
                <w:bCs/>
              </w:rPr>
            </w:pPr>
            <w:r>
              <w:rPr>
                <w:rFonts w:hint="eastAsia" w:ascii="宋体" w:hAnsi="宋体" w:cs="宋体"/>
                <w:bCs/>
              </w:rPr>
              <w:t>消防沙池</w:t>
            </w:r>
          </w:p>
        </w:tc>
        <w:tc>
          <w:tcPr>
            <w:tcW w:w="584" w:type="pct"/>
            <w:gridSpan w:val="2"/>
            <w:vAlign w:val="center"/>
          </w:tcPr>
          <w:p w14:paraId="36BC53CC">
            <w:pPr>
              <w:pStyle w:val="11"/>
              <w:widowControl w:val="0"/>
              <w:spacing w:line="360" w:lineRule="auto"/>
              <w:rPr>
                <w:rFonts w:hint="eastAsia" w:ascii="宋体" w:hAnsi="宋体" w:cs="宋体"/>
                <w:bCs/>
              </w:rPr>
            </w:pPr>
            <w:r>
              <w:rPr>
                <w:rFonts w:hint="eastAsia" w:ascii="宋体" w:hAnsi="宋体" w:cs="宋体"/>
                <w:bCs/>
              </w:rPr>
              <w:t>2m</w:t>
            </w:r>
            <w:r>
              <w:rPr>
                <w:rFonts w:hint="eastAsia" w:ascii="宋体" w:hAnsi="宋体" w:cs="宋体"/>
                <w:bCs/>
                <w:vertAlign w:val="superscript"/>
              </w:rPr>
              <w:t>3</w:t>
            </w:r>
          </w:p>
        </w:tc>
        <w:tc>
          <w:tcPr>
            <w:tcW w:w="687" w:type="pct"/>
            <w:vAlign w:val="center"/>
          </w:tcPr>
          <w:p w14:paraId="71E77E44">
            <w:pPr>
              <w:pStyle w:val="11"/>
              <w:widowControl w:val="0"/>
              <w:spacing w:line="360" w:lineRule="auto"/>
              <w:rPr>
                <w:rFonts w:hint="eastAsia" w:ascii="宋体" w:hAnsi="宋体" w:cs="宋体"/>
                <w:bCs/>
              </w:rPr>
            </w:pPr>
          </w:p>
        </w:tc>
        <w:tc>
          <w:tcPr>
            <w:tcW w:w="787" w:type="pct"/>
            <w:gridSpan w:val="2"/>
            <w:vAlign w:val="center"/>
          </w:tcPr>
          <w:p w14:paraId="58E3E9A4">
            <w:pPr>
              <w:pStyle w:val="11"/>
              <w:widowControl w:val="0"/>
              <w:spacing w:line="360" w:lineRule="auto"/>
              <w:rPr>
                <w:rFonts w:hint="eastAsia" w:ascii="宋体" w:hAnsi="宋体" w:cs="宋体"/>
                <w:bCs/>
              </w:rPr>
            </w:pPr>
          </w:p>
        </w:tc>
        <w:tc>
          <w:tcPr>
            <w:tcW w:w="684" w:type="pct"/>
            <w:gridSpan w:val="2"/>
            <w:vAlign w:val="center"/>
          </w:tcPr>
          <w:p w14:paraId="3A872AFF">
            <w:pPr>
              <w:pStyle w:val="11"/>
              <w:widowControl w:val="0"/>
              <w:spacing w:line="360" w:lineRule="auto"/>
              <w:rPr>
                <w:rFonts w:hint="eastAsia" w:ascii="宋体" w:hAnsi="宋体" w:cs="宋体"/>
                <w:bCs/>
              </w:rPr>
            </w:pPr>
          </w:p>
        </w:tc>
        <w:tc>
          <w:tcPr>
            <w:tcW w:w="717" w:type="pct"/>
            <w:vAlign w:val="center"/>
          </w:tcPr>
          <w:p w14:paraId="6E893A1F">
            <w:pPr>
              <w:pStyle w:val="11"/>
              <w:widowControl w:val="0"/>
              <w:spacing w:line="360" w:lineRule="auto"/>
              <w:rPr>
                <w:rFonts w:hint="eastAsia" w:ascii="宋体" w:hAnsi="宋体" w:cs="宋体"/>
                <w:bCs/>
              </w:rPr>
            </w:pPr>
          </w:p>
        </w:tc>
      </w:tr>
    </w:tbl>
    <w:p w14:paraId="79BADFF4">
      <w:pPr>
        <w:pStyle w:val="2"/>
        <w:ind w:left="0" w:leftChars="0" w:firstLine="0" w:firstLineChars="0"/>
        <w:rPr>
          <w:rFonts w:hint="eastAsia" w:eastAsia="宋体"/>
          <w:lang w:eastAsia="zh-CN"/>
        </w:rPr>
      </w:pPr>
    </w:p>
    <w:p w14:paraId="436F35FB">
      <w:pPr>
        <w:pStyle w:val="2"/>
        <w:ind w:left="0" w:leftChars="0" w:firstLine="0" w:firstLineChars="0"/>
        <w:rPr>
          <w:rFonts w:hint="eastAsia" w:eastAsia="宋体"/>
          <w:lang w:eastAsia="zh-CN"/>
        </w:rPr>
      </w:pPr>
    </w:p>
    <w:p w14:paraId="6D988D2B">
      <w:pPr>
        <w:pStyle w:val="2"/>
        <w:ind w:left="0" w:leftChars="0" w:firstLine="0" w:firstLineChars="0"/>
        <w:rPr>
          <w:rFonts w:hint="eastAsia" w:eastAsia="宋体"/>
          <w:lang w:eastAsia="zh-CN"/>
        </w:rPr>
      </w:pPr>
    </w:p>
    <w:p w14:paraId="70613E0E">
      <w:pPr>
        <w:pStyle w:val="2"/>
        <w:ind w:left="0" w:leftChars="0" w:firstLine="0" w:firstLineChars="0"/>
        <w:rPr>
          <w:rFonts w:hint="eastAsia" w:eastAsia="宋体"/>
          <w:lang w:eastAsia="zh-CN"/>
        </w:rPr>
      </w:pPr>
    </w:p>
    <w:p w14:paraId="5AE03BBA">
      <w:pPr>
        <w:pStyle w:val="2"/>
        <w:ind w:left="0" w:leftChars="0" w:firstLine="0" w:firstLineChars="0"/>
        <w:rPr>
          <w:rFonts w:hint="eastAsia" w:eastAsia="宋体"/>
          <w:lang w:eastAsia="zh-CN"/>
        </w:rPr>
      </w:pPr>
    </w:p>
    <w:p w14:paraId="53A62DD1">
      <w:pPr>
        <w:pStyle w:val="2"/>
        <w:ind w:left="0" w:leftChars="0" w:firstLine="0" w:firstLineChars="0"/>
        <w:rPr>
          <w:rFonts w:hint="eastAsia" w:eastAsia="宋体"/>
          <w:lang w:eastAsia="zh-CN"/>
        </w:rPr>
      </w:pPr>
    </w:p>
    <w:p w14:paraId="2716BF6C">
      <w:pPr>
        <w:pStyle w:val="2"/>
        <w:ind w:left="0" w:leftChars="0" w:firstLine="0" w:firstLineChars="0"/>
        <w:rPr>
          <w:rFonts w:hint="eastAsia" w:eastAsia="宋体"/>
          <w:lang w:eastAsia="zh-CN"/>
        </w:rPr>
      </w:pPr>
    </w:p>
    <w:p w14:paraId="1B4CEB56">
      <w:pPr>
        <w:pStyle w:val="2"/>
        <w:ind w:left="0" w:leftChars="0" w:firstLine="0" w:firstLineChars="0"/>
        <w:rPr>
          <w:rFonts w:hint="eastAsia" w:eastAsia="宋体"/>
          <w:lang w:eastAsia="zh-CN"/>
        </w:rPr>
      </w:pPr>
    </w:p>
    <w:p w14:paraId="27BFD2D0">
      <w:pPr>
        <w:pStyle w:val="2"/>
        <w:ind w:left="0" w:leftChars="0" w:firstLine="0" w:firstLineChars="0"/>
        <w:rPr>
          <w:rFonts w:hint="eastAsia" w:eastAsia="宋体"/>
          <w:lang w:eastAsia="zh-CN"/>
        </w:rPr>
      </w:pPr>
    </w:p>
    <w:p w14:paraId="46FE1213">
      <w:pPr>
        <w:pStyle w:val="2"/>
        <w:ind w:left="0" w:leftChars="0" w:firstLine="0" w:firstLineChars="0"/>
        <w:rPr>
          <w:rFonts w:hint="eastAsia" w:eastAsia="宋体"/>
          <w:lang w:eastAsia="zh-CN"/>
        </w:rPr>
      </w:pPr>
    </w:p>
    <w:p w14:paraId="4C62E259">
      <w:pPr>
        <w:pStyle w:val="2"/>
        <w:ind w:left="0" w:leftChars="0" w:firstLine="0" w:firstLineChars="0"/>
        <w:rPr>
          <w:rFonts w:hint="eastAsia" w:eastAsia="宋体"/>
          <w:lang w:eastAsia="zh-CN"/>
        </w:rPr>
      </w:pPr>
    </w:p>
    <w:p w14:paraId="2B7D5DD8">
      <w:pPr>
        <w:pStyle w:val="2"/>
        <w:ind w:left="0" w:leftChars="0" w:firstLine="0" w:firstLineChars="0"/>
        <w:rPr>
          <w:rFonts w:hint="eastAsia" w:eastAsia="宋体"/>
          <w:lang w:eastAsia="zh-CN"/>
        </w:rPr>
      </w:pPr>
    </w:p>
    <w:p w14:paraId="402A33B4">
      <w:pPr>
        <w:pStyle w:val="9"/>
        <w:widowControl w:val="0"/>
        <w:adjustRightInd w:val="0"/>
        <w:snapToGrid w:val="0"/>
        <w:spacing w:before="0" w:beforeLines="0" w:after="0" w:afterLines="0" w:line="360" w:lineRule="auto"/>
      </w:pPr>
      <w:bookmarkStart w:id="0" w:name="_Toc102634406"/>
      <w:bookmarkStart w:id="1" w:name="_Toc102633980"/>
      <w:bookmarkStart w:id="2" w:name="_Toc102633906"/>
      <w:bookmarkStart w:id="3" w:name="_Toc102634255"/>
      <w:r>
        <w:t>第四章 评价单元划分与评价方法选择</w:t>
      </w:r>
      <w:bookmarkEnd w:id="0"/>
      <w:bookmarkEnd w:id="1"/>
      <w:bookmarkEnd w:id="2"/>
      <w:bookmarkEnd w:id="3"/>
    </w:p>
    <w:p w14:paraId="2E0E68C4">
      <w:pPr>
        <w:snapToGrid w:val="0"/>
        <w:spacing w:line="360" w:lineRule="auto"/>
        <w:jc w:val="center"/>
        <w:outlineLvl w:val="1"/>
        <w:rPr>
          <w:rFonts w:ascii="Calibri" w:hAnsi="Calibri" w:eastAsia="楷体_GB2312"/>
          <w:b/>
          <w:kern w:val="0"/>
          <w:sz w:val="32"/>
          <w:szCs w:val="20"/>
        </w:rPr>
      </w:pPr>
      <w:bookmarkStart w:id="4" w:name="_Toc102634407"/>
      <w:bookmarkStart w:id="5" w:name="_Toc192907201"/>
      <w:bookmarkStart w:id="6" w:name="_Toc15033754"/>
      <w:bookmarkStart w:id="7" w:name="_Toc102633981"/>
      <w:bookmarkStart w:id="8" w:name="_Toc238007574"/>
      <w:bookmarkStart w:id="9" w:name="_Toc102633907"/>
      <w:bookmarkStart w:id="10" w:name="_Toc7829"/>
      <w:bookmarkStart w:id="11" w:name="_Toc272364536"/>
      <w:bookmarkStart w:id="12" w:name="_Toc102634256"/>
      <w:bookmarkStart w:id="13" w:name="_Toc198026273"/>
      <w:bookmarkStart w:id="14" w:name="_Toc23543"/>
      <w:r>
        <w:rPr>
          <w:rFonts w:ascii="Calibri" w:hAnsi="Calibri" w:eastAsia="楷体_GB2312"/>
          <w:b/>
          <w:kern w:val="0"/>
          <w:sz w:val="32"/>
          <w:szCs w:val="20"/>
        </w:rPr>
        <w:t>第一节 评价单元的划分</w:t>
      </w:r>
      <w:bookmarkEnd w:id="4"/>
      <w:bookmarkEnd w:id="5"/>
      <w:bookmarkEnd w:id="6"/>
      <w:bookmarkEnd w:id="7"/>
      <w:bookmarkEnd w:id="8"/>
      <w:bookmarkEnd w:id="9"/>
      <w:bookmarkEnd w:id="10"/>
      <w:bookmarkEnd w:id="11"/>
      <w:bookmarkEnd w:id="12"/>
      <w:bookmarkEnd w:id="13"/>
      <w:bookmarkEnd w:id="14"/>
    </w:p>
    <w:p w14:paraId="79D60203">
      <w:pPr>
        <w:pStyle w:val="8"/>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21832FD">
      <w:pPr>
        <w:pStyle w:val="13"/>
        <w:widowControl w:val="0"/>
        <w:spacing w:line="360" w:lineRule="auto"/>
        <w:ind w:firstLine="560"/>
        <w:jc w:val="both"/>
      </w:pPr>
      <w:bookmarkStart w:id="15" w:name="_Toc102634257"/>
      <w:r>
        <w:rPr>
          <w:rFonts w:hint="eastAsia"/>
        </w:rPr>
        <w:t>一</w:t>
      </w:r>
      <w:r>
        <w:t>、以危险有害因素的类别为主划分评价单元</w:t>
      </w:r>
      <w:bookmarkEnd w:id="15"/>
    </w:p>
    <w:p w14:paraId="1568DE2B">
      <w:pPr>
        <w:pStyle w:val="8"/>
        <w:widowControl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731FCB52">
      <w:pPr>
        <w:pStyle w:val="8"/>
        <w:widowControl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25C7EF5E">
      <w:pPr>
        <w:pStyle w:val="13"/>
        <w:widowControl w:val="0"/>
        <w:spacing w:line="360" w:lineRule="auto"/>
        <w:ind w:firstLine="560"/>
        <w:jc w:val="both"/>
      </w:pPr>
      <w:bookmarkStart w:id="16" w:name="_Toc102634258"/>
      <w:r>
        <w:rPr>
          <w:rFonts w:hint="eastAsia"/>
        </w:rPr>
        <w:t>二</w:t>
      </w:r>
      <w:r>
        <w:t>、以物质特征划分评价单元</w:t>
      </w:r>
      <w:bookmarkEnd w:id="16"/>
    </w:p>
    <w:p w14:paraId="0236B641">
      <w:pPr>
        <w:pStyle w:val="8"/>
        <w:widowControl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7FA8B92">
      <w:pPr>
        <w:pStyle w:val="8"/>
        <w:widowControl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31C91D1C">
      <w:pPr>
        <w:pStyle w:val="8"/>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hint="eastAsia" w:ascii="宋体"/>
        </w:rPr>
        <w:t>四</w:t>
      </w:r>
      <w:r>
        <w:rPr>
          <w:rFonts w:ascii="宋体"/>
        </w:rPr>
        <w:t>个单元：</w:t>
      </w:r>
    </w:p>
    <w:p w14:paraId="0B6E8712">
      <w:pPr>
        <w:adjustRightInd w:val="0"/>
        <w:snapToGrid w:val="0"/>
        <w:spacing w:line="360" w:lineRule="auto"/>
        <w:ind w:firstLine="560" w:firstLineChars="200"/>
        <w:rPr>
          <w:rFonts w:ascii="宋体"/>
          <w:sz w:val="28"/>
        </w:rPr>
      </w:pPr>
      <w:bookmarkStart w:id="17" w:name="_Toc24232"/>
      <w:bookmarkStart w:id="18" w:name="_Toc198026274"/>
      <w:bookmarkStart w:id="19" w:name="_Toc102634259"/>
      <w:bookmarkStart w:id="20" w:name="_Toc238007575"/>
      <w:bookmarkStart w:id="21" w:name="_Toc102633908"/>
      <w:bookmarkStart w:id="22" w:name="_Toc19785"/>
      <w:bookmarkStart w:id="23" w:name="_Toc102634408"/>
      <w:bookmarkStart w:id="24" w:name="_Toc188079886"/>
      <w:bookmarkStart w:id="25" w:name="_Toc102633982"/>
      <w:bookmarkStart w:id="26" w:name="_Toc15033755"/>
      <w:bookmarkStart w:id="27" w:name="_Toc188080068"/>
      <w:bookmarkStart w:id="28" w:name="_Toc272364537"/>
      <w:bookmarkStart w:id="29" w:name="_Toc192907202"/>
      <w:r>
        <w:rPr>
          <w:rFonts w:ascii="宋体"/>
          <w:sz w:val="28"/>
        </w:rPr>
        <w:t>1、安全管理；</w:t>
      </w:r>
    </w:p>
    <w:p w14:paraId="2A4061D8">
      <w:pPr>
        <w:adjustRightInd w:val="0"/>
        <w:snapToGrid w:val="0"/>
        <w:spacing w:line="360" w:lineRule="auto"/>
        <w:ind w:firstLine="560" w:firstLineChars="200"/>
        <w:rPr>
          <w:rFonts w:ascii="宋体"/>
          <w:sz w:val="28"/>
        </w:rPr>
      </w:pPr>
      <w:r>
        <w:rPr>
          <w:rFonts w:ascii="宋体"/>
          <w:sz w:val="28"/>
        </w:rPr>
        <w:t>2、站址选择及总</w:t>
      </w:r>
      <w:r>
        <w:rPr>
          <w:rFonts w:hint="eastAsia" w:ascii="宋体"/>
          <w:sz w:val="28"/>
        </w:rPr>
        <w:t>平面</w:t>
      </w:r>
      <w:r>
        <w:rPr>
          <w:rFonts w:ascii="宋体"/>
          <w:sz w:val="28"/>
        </w:rPr>
        <w:t>布置；</w:t>
      </w:r>
    </w:p>
    <w:p w14:paraId="02F66251">
      <w:pPr>
        <w:adjustRightInd w:val="0"/>
        <w:snapToGrid w:val="0"/>
        <w:spacing w:line="360" w:lineRule="auto"/>
        <w:ind w:firstLine="560" w:firstLineChars="200"/>
        <w:rPr>
          <w:rFonts w:ascii="宋体"/>
          <w:sz w:val="28"/>
        </w:rPr>
      </w:pPr>
      <w:r>
        <w:rPr>
          <w:rFonts w:ascii="宋体"/>
          <w:sz w:val="28"/>
        </w:rPr>
        <w:t>3、加油工艺及设施；</w:t>
      </w:r>
    </w:p>
    <w:p w14:paraId="41267A28">
      <w:pPr>
        <w:adjustRightInd w:val="0"/>
        <w:snapToGrid w:val="0"/>
        <w:spacing w:line="360" w:lineRule="auto"/>
        <w:ind w:firstLine="560" w:firstLineChars="200"/>
        <w:rPr>
          <w:rFonts w:ascii="宋体"/>
          <w:sz w:val="28"/>
        </w:rPr>
      </w:pPr>
      <w:r>
        <w:rPr>
          <w:rFonts w:ascii="宋体"/>
          <w:sz w:val="28"/>
        </w:rPr>
        <w:t>4、其它安全设施</w:t>
      </w:r>
      <w:r>
        <w:rPr>
          <w:rFonts w:hint="eastAsia" w:ascii="宋体"/>
          <w:sz w:val="28"/>
        </w:rPr>
        <w:t>。</w:t>
      </w:r>
    </w:p>
    <w:p w14:paraId="7C291F9E">
      <w:pPr>
        <w:snapToGrid w:val="0"/>
        <w:spacing w:before="120" w:after="120" w:line="560" w:lineRule="exact"/>
        <w:jc w:val="center"/>
        <w:outlineLvl w:val="1"/>
        <w:rPr>
          <w:rFonts w:ascii="Calibri" w:hAnsi="Calibri" w:eastAsia="楷体_GB2312"/>
          <w:b/>
          <w:kern w:val="0"/>
          <w:sz w:val="32"/>
          <w:szCs w:val="20"/>
        </w:rPr>
      </w:pPr>
      <w:r>
        <w:rPr>
          <w:rFonts w:ascii="Calibri" w:hAnsi="Calibri" w:eastAsia="楷体_GB2312"/>
          <w:b/>
          <w:kern w:val="0"/>
          <w:sz w:val="32"/>
          <w:szCs w:val="20"/>
        </w:rPr>
        <w:t>第二节 评价方法的选择</w:t>
      </w:r>
      <w:bookmarkEnd w:id="17"/>
      <w:bookmarkEnd w:id="18"/>
      <w:bookmarkEnd w:id="19"/>
      <w:bookmarkEnd w:id="20"/>
      <w:bookmarkEnd w:id="21"/>
      <w:bookmarkEnd w:id="22"/>
      <w:bookmarkEnd w:id="23"/>
      <w:bookmarkEnd w:id="24"/>
      <w:bookmarkEnd w:id="25"/>
      <w:bookmarkEnd w:id="26"/>
      <w:bookmarkEnd w:id="27"/>
      <w:bookmarkEnd w:id="28"/>
      <w:bookmarkEnd w:id="29"/>
    </w:p>
    <w:p w14:paraId="50AEE9B5">
      <w:pPr>
        <w:pStyle w:val="8"/>
        <w:widowControl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148A197">
      <w:pPr>
        <w:pStyle w:val="8"/>
        <w:widowControl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A6BF9B8">
      <w:pPr>
        <w:pStyle w:val="8"/>
        <w:widowControl w:val="0"/>
        <w:spacing w:line="360" w:lineRule="auto"/>
        <w:ind w:firstLine="560"/>
        <w:rPr>
          <w:rFonts w:ascii="宋体"/>
        </w:rPr>
      </w:pPr>
      <w:r>
        <w:rPr>
          <w:rFonts w:ascii="宋体"/>
        </w:rPr>
        <w:t>根据本次安全评价的特点，结合</w:t>
      </w:r>
      <w:r>
        <w:rPr>
          <w:rFonts w:hint="eastAsia" w:ascii="宋体"/>
        </w:rPr>
        <w:t>肥城市辉</w:t>
      </w:r>
      <w:r>
        <w:rPr>
          <w:rFonts w:hint="eastAsia" w:ascii="宋体"/>
          <w:lang w:val="en-US" w:eastAsia="zh-CN"/>
        </w:rPr>
        <w:t>恒</w:t>
      </w:r>
      <w:r>
        <w:rPr>
          <w:rFonts w:hint="eastAsia" w:ascii="宋体"/>
        </w:rPr>
        <w:t>能源服务有限公司</w:t>
      </w:r>
      <w:r>
        <w:rPr>
          <w:rFonts w:ascii="宋体"/>
        </w:rPr>
        <w:t>的具体情况，选用安全检查表、事故树法及危险度评价法对加油站进行评价。具体应用如下表所示：</w:t>
      </w:r>
    </w:p>
    <w:p w14:paraId="5B57D5D8">
      <w:pPr>
        <w:pStyle w:val="10"/>
        <w:widowControl w:val="0"/>
        <w:outlineLvl w:val="9"/>
        <w:rPr>
          <w:rFonts w:hint="eastAsia" w:ascii="黑体" w:hAnsi="黑体"/>
        </w:rPr>
      </w:pPr>
      <w:r>
        <w:rPr>
          <w:rFonts w:ascii="黑体" w:hAnsi="黑体"/>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3"/>
        <w:gridCol w:w="2305"/>
        <w:gridCol w:w="2253"/>
        <w:gridCol w:w="1872"/>
      </w:tblGrid>
      <w:tr w14:paraId="6CFC0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53B39CAE">
            <w:pPr>
              <w:pStyle w:val="11"/>
              <w:widowControl w:val="0"/>
              <w:spacing w:line="360" w:lineRule="auto"/>
              <w:rPr>
                <w:rFonts w:ascii="宋体"/>
                <w:b/>
                <w:lang w:val="en-GB"/>
              </w:rPr>
            </w:pPr>
            <w:r>
              <w:rPr>
                <w:rFonts w:ascii="宋体"/>
                <w:b/>
                <w:lang w:val="en-GB"/>
              </w:rPr>
              <w:t>序号</w:t>
            </w:r>
          </w:p>
        </w:tc>
        <w:tc>
          <w:tcPr>
            <w:tcW w:w="1284" w:type="pct"/>
            <w:vMerge w:val="restart"/>
            <w:vAlign w:val="center"/>
          </w:tcPr>
          <w:p w14:paraId="2C8E978E">
            <w:pPr>
              <w:pStyle w:val="11"/>
              <w:widowControl w:val="0"/>
              <w:spacing w:line="360" w:lineRule="auto"/>
              <w:rPr>
                <w:rFonts w:ascii="宋体"/>
                <w:b/>
              </w:rPr>
            </w:pPr>
            <w:r>
              <w:rPr>
                <w:rFonts w:ascii="宋体"/>
                <w:b/>
                <w:bCs/>
                <w:lang w:val="en-GB"/>
              </w:rPr>
              <w:t>评价单元</w:t>
            </w:r>
          </w:p>
        </w:tc>
        <w:tc>
          <w:tcPr>
            <w:tcW w:w="3339" w:type="pct"/>
            <w:gridSpan w:val="3"/>
            <w:vAlign w:val="center"/>
          </w:tcPr>
          <w:p w14:paraId="7558DBFA">
            <w:pPr>
              <w:pStyle w:val="11"/>
              <w:widowControl w:val="0"/>
              <w:spacing w:line="360" w:lineRule="auto"/>
              <w:rPr>
                <w:rFonts w:ascii="宋体"/>
                <w:b/>
              </w:rPr>
            </w:pPr>
            <w:r>
              <w:rPr>
                <w:rFonts w:ascii="宋体"/>
                <w:b/>
                <w:lang w:val="en-GB"/>
              </w:rPr>
              <w:t>评价方法</w:t>
            </w:r>
          </w:p>
        </w:tc>
      </w:tr>
      <w:tr w14:paraId="75290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1C491CE0">
            <w:pPr>
              <w:pStyle w:val="11"/>
              <w:widowControl w:val="0"/>
              <w:spacing w:line="360" w:lineRule="auto"/>
              <w:rPr>
                <w:rFonts w:ascii="宋体"/>
                <w:b/>
                <w:lang w:val="en-GB"/>
              </w:rPr>
            </w:pPr>
          </w:p>
        </w:tc>
        <w:tc>
          <w:tcPr>
            <w:tcW w:w="1284" w:type="pct"/>
            <w:vMerge w:val="continue"/>
            <w:vAlign w:val="center"/>
          </w:tcPr>
          <w:p w14:paraId="3BE589E1">
            <w:pPr>
              <w:pStyle w:val="11"/>
              <w:widowControl w:val="0"/>
              <w:spacing w:line="360" w:lineRule="auto"/>
              <w:rPr>
                <w:rFonts w:ascii="宋体"/>
                <w:b/>
              </w:rPr>
            </w:pPr>
          </w:p>
        </w:tc>
        <w:tc>
          <w:tcPr>
            <w:tcW w:w="1197" w:type="pct"/>
            <w:vAlign w:val="center"/>
          </w:tcPr>
          <w:p w14:paraId="6FE741AB">
            <w:pPr>
              <w:pStyle w:val="11"/>
              <w:widowControl w:val="0"/>
              <w:spacing w:line="360" w:lineRule="auto"/>
              <w:rPr>
                <w:rFonts w:ascii="宋体"/>
                <w:b/>
                <w:lang w:val="en-GB"/>
              </w:rPr>
            </w:pPr>
            <w:r>
              <w:rPr>
                <w:rFonts w:ascii="宋体"/>
                <w:b/>
                <w:lang w:val="en-GB"/>
              </w:rPr>
              <w:t>安全检查表</w:t>
            </w:r>
          </w:p>
        </w:tc>
        <w:tc>
          <w:tcPr>
            <w:tcW w:w="1170" w:type="pct"/>
            <w:vAlign w:val="center"/>
          </w:tcPr>
          <w:p w14:paraId="15CF4186">
            <w:pPr>
              <w:pStyle w:val="11"/>
              <w:widowControl w:val="0"/>
              <w:spacing w:line="360" w:lineRule="auto"/>
              <w:rPr>
                <w:rFonts w:ascii="宋体"/>
                <w:b/>
                <w:lang w:val="en-GB"/>
              </w:rPr>
            </w:pPr>
            <w:r>
              <w:rPr>
                <w:rFonts w:ascii="宋体"/>
                <w:b/>
                <w:lang w:val="en-GB"/>
              </w:rPr>
              <w:t>危险度评价法</w:t>
            </w:r>
          </w:p>
        </w:tc>
        <w:tc>
          <w:tcPr>
            <w:tcW w:w="971" w:type="pct"/>
            <w:vAlign w:val="center"/>
          </w:tcPr>
          <w:p w14:paraId="4B1163A8">
            <w:pPr>
              <w:pStyle w:val="11"/>
              <w:widowControl w:val="0"/>
              <w:spacing w:line="360" w:lineRule="auto"/>
              <w:rPr>
                <w:rFonts w:ascii="宋体"/>
                <w:b/>
                <w:lang w:val="en-GB"/>
              </w:rPr>
            </w:pPr>
            <w:r>
              <w:rPr>
                <w:rFonts w:ascii="宋体"/>
                <w:b/>
                <w:lang w:val="en-GB"/>
              </w:rPr>
              <w:t>事故树法</w:t>
            </w:r>
          </w:p>
        </w:tc>
      </w:tr>
      <w:tr w14:paraId="05FC2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76" w:type="pct"/>
            <w:vAlign w:val="center"/>
          </w:tcPr>
          <w:p w14:paraId="41833B78">
            <w:pPr>
              <w:pStyle w:val="11"/>
              <w:widowControl w:val="0"/>
              <w:spacing w:line="360" w:lineRule="auto"/>
              <w:rPr>
                <w:rFonts w:ascii="宋体"/>
                <w:lang w:val="en-GB"/>
              </w:rPr>
            </w:pPr>
            <w:r>
              <w:rPr>
                <w:rFonts w:ascii="宋体"/>
                <w:lang w:val="en-GB"/>
              </w:rPr>
              <w:t>1</w:t>
            </w:r>
          </w:p>
        </w:tc>
        <w:tc>
          <w:tcPr>
            <w:tcW w:w="1284" w:type="pct"/>
            <w:vAlign w:val="center"/>
          </w:tcPr>
          <w:p w14:paraId="628D3166">
            <w:pPr>
              <w:pStyle w:val="11"/>
              <w:widowControl w:val="0"/>
              <w:spacing w:line="360" w:lineRule="auto"/>
              <w:rPr>
                <w:rFonts w:ascii="宋体"/>
                <w:lang w:val="en-GB"/>
              </w:rPr>
            </w:pPr>
            <w:r>
              <w:rPr>
                <w:rFonts w:ascii="宋体"/>
                <w:lang w:val="en-GB"/>
              </w:rPr>
              <w:t>安全管理单元</w:t>
            </w:r>
          </w:p>
        </w:tc>
        <w:tc>
          <w:tcPr>
            <w:tcW w:w="1197" w:type="pct"/>
            <w:vAlign w:val="center"/>
          </w:tcPr>
          <w:p w14:paraId="5DAD08D8">
            <w:pPr>
              <w:pStyle w:val="11"/>
              <w:widowControl w:val="0"/>
              <w:spacing w:line="360" w:lineRule="auto"/>
              <w:rPr>
                <w:rFonts w:ascii="宋体"/>
              </w:rPr>
            </w:pPr>
            <w:r>
              <w:rPr>
                <w:rFonts w:hint="eastAsia" w:ascii="宋体" w:hAnsi="宋体" w:cs="宋体"/>
              </w:rPr>
              <w:t>★</w:t>
            </w:r>
          </w:p>
        </w:tc>
        <w:tc>
          <w:tcPr>
            <w:tcW w:w="1170" w:type="pct"/>
            <w:vAlign w:val="center"/>
          </w:tcPr>
          <w:p w14:paraId="52392ACC">
            <w:pPr>
              <w:pStyle w:val="11"/>
              <w:widowControl w:val="0"/>
              <w:spacing w:line="360" w:lineRule="auto"/>
              <w:rPr>
                <w:rFonts w:ascii="宋体"/>
              </w:rPr>
            </w:pPr>
          </w:p>
        </w:tc>
        <w:tc>
          <w:tcPr>
            <w:tcW w:w="971" w:type="pct"/>
            <w:vAlign w:val="center"/>
          </w:tcPr>
          <w:p w14:paraId="762BB643">
            <w:pPr>
              <w:pStyle w:val="11"/>
              <w:widowControl w:val="0"/>
              <w:spacing w:line="360" w:lineRule="auto"/>
              <w:rPr>
                <w:rFonts w:ascii="宋体"/>
              </w:rPr>
            </w:pPr>
          </w:p>
        </w:tc>
      </w:tr>
      <w:tr w14:paraId="2D2EF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3561719B">
            <w:pPr>
              <w:pStyle w:val="11"/>
              <w:widowControl w:val="0"/>
              <w:spacing w:line="360" w:lineRule="auto"/>
              <w:rPr>
                <w:rFonts w:ascii="宋体"/>
                <w:lang w:val="en-GB"/>
              </w:rPr>
            </w:pPr>
            <w:r>
              <w:rPr>
                <w:rFonts w:ascii="宋体"/>
                <w:lang w:val="en-GB"/>
              </w:rPr>
              <w:t>2</w:t>
            </w:r>
          </w:p>
        </w:tc>
        <w:tc>
          <w:tcPr>
            <w:tcW w:w="1284" w:type="pct"/>
            <w:vAlign w:val="center"/>
          </w:tcPr>
          <w:p w14:paraId="76501FB9">
            <w:pPr>
              <w:pStyle w:val="11"/>
              <w:widowControl w:val="0"/>
              <w:spacing w:line="360" w:lineRule="auto"/>
              <w:rPr>
                <w:rFonts w:ascii="宋体"/>
                <w:lang w:val="en-GB"/>
              </w:rPr>
            </w:pPr>
            <w:r>
              <w:rPr>
                <w:rFonts w:ascii="宋体"/>
                <w:lang w:val="en-GB"/>
              </w:rPr>
              <w:t>站址选择及总平面布置</w:t>
            </w:r>
          </w:p>
        </w:tc>
        <w:tc>
          <w:tcPr>
            <w:tcW w:w="1197" w:type="pct"/>
            <w:vAlign w:val="center"/>
          </w:tcPr>
          <w:p w14:paraId="7ADDE2EE">
            <w:pPr>
              <w:pStyle w:val="11"/>
              <w:widowControl w:val="0"/>
              <w:spacing w:line="360" w:lineRule="auto"/>
              <w:rPr>
                <w:rFonts w:ascii="宋体"/>
              </w:rPr>
            </w:pPr>
            <w:r>
              <w:rPr>
                <w:rFonts w:hint="eastAsia" w:ascii="宋体" w:hAnsi="宋体" w:cs="宋体"/>
              </w:rPr>
              <w:t>★</w:t>
            </w:r>
          </w:p>
        </w:tc>
        <w:tc>
          <w:tcPr>
            <w:tcW w:w="1170" w:type="pct"/>
            <w:vAlign w:val="center"/>
          </w:tcPr>
          <w:p w14:paraId="2D57C5DD">
            <w:pPr>
              <w:pStyle w:val="11"/>
              <w:widowControl w:val="0"/>
              <w:spacing w:line="360" w:lineRule="auto"/>
              <w:rPr>
                <w:rFonts w:ascii="宋体"/>
              </w:rPr>
            </w:pPr>
          </w:p>
        </w:tc>
        <w:tc>
          <w:tcPr>
            <w:tcW w:w="971" w:type="pct"/>
            <w:vAlign w:val="center"/>
          </w:tcPr>
          <w:p w14:paraId="1B4E7D70">
            <w:pPr>
              <w:pStyle w:val="11"/>
              <w:widowControl w:val="0"/>
              <w:spacing w:line="360" w:lineRule="auto"/>
              <w:rPr>
                <w:rFonts w:ascii="宋体"/>
              </w:rPr>
            </w:pPr>
          </w:p>
        </w:tc>
      </w:tr>
      <w:tr w14:paraId="4624E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76" w:type="pct"/>
            <w:vAlign w:val="center"/>
          </w:tcPr>
          <w:p w14:paraId="7DB2500D">
            <w:pPr>
              <w:pStyle w:val="11"/>
              <w:widowControl w:val="0"/>
              <w:spacing w:line="360" w:lineRule="auto"/>
              <w:rPr>
                <w:rFonts w:ascii="宋体"/>
                <w:lang w:val="en-GB"/>
              </w:rPr>
            </w:pPr>
            <w:r>
              <w:rPr>
                <w:rFonts w:ascii="宋体"/>
                <w:lang w:val="en-GB"/>
              </w:rPr>
              <w:t>3</w:t>
            </w:r>
          </w:p>
        </w:tc>
        <w:tc>
          <w:tcPr>
            <w:tcW w:w="1284" w:type="pct"/>
            <w:vAlign w:val="center"/>
          </w:tcPr>
          <w:p w14:paraId="3CB60998">
            <w:pPr>
              <w:pStyle w:val="11"/>
              <w:widowControl w:val="0"/>
              <w:spacing w:line="360" w:lineRule="auto"/>
              <w:rPr>
                <w:rFonts w:ascii="宋体"/>
                <w:lang w:val="en-GB"/>
              </w:rPr>
            </w:pPr>
            <w:r>
              <w:rPr>
                <w:rFonts w:ascii="宋体"/>
                <w:lang w:val="en-GB"/>
              </w:rPr>
              <w:t>加油工艺及设施</w:t>
            </w:r>
          </w:p>
        </w:tc>
        <w:tc>
          <w:tcPr>
            <w:tcW w:w="1197" w:type="pct"/>
            <w:vAlign w:val="center"/>
          </w:tcPr>
          <w:p w14:paraId="2E9AE443">
            <w:pPr>
              <w:pStyle w:val="11"/>
              <w:widowControl w:val="0"/>
              <w:spacing w:line="360" w:lineRule="auto"/>
              <w:rPr>
                <w:rFonts w:ascii="宋体"/>
              </w:rPr>
            </w:pPr>
            <w:r>
              <w:rPr>
                <w:rFonts w:hint="eastAsia" w:ascii="宋体" w:hAnsi="宋体" w:cs="宋体"/>
              </w:rPr>
              <w:t>★</w:t>
            </w:r>
          </w:p>
        </w:tc>
        <w:tc>
          <w:tcPr>
            <w:tcW w:w="1170" w:type="pct"/>
            <w:vAlign w:val="center"/>
          </w:tcPr>
          <w:p w14:paraId="0733A23B">
            <w:pPr>
              <w:pStyle w:val="11"/>
              <w:widowControl w:val="0"/>
              <w:spacing w:line="360" w:lineRule="auto"/>
              <w:rPr>
                <w:rFonts w:ascii="宋体"/>
              </w:rPr>
            </w:pPr>
            <w:r>
              <w:rPr>
                <w:rFonts w:hint="eastAsia" w:ascii="宋体" w:hAnsi="宋体" w:cs="宋体"/>
              </w:rPr>
              <w:t>★</w:t>
            </w:r>
          </w:p>
        </w:tc>
        <w:tc>
          <w:tcPr>
            <w:tcW w:w="971" w:type="pct"/>
            <w:vAlign w:val="center"/>
          </w:tcPr>
          <w:p w14:paraId="62E35446">
            <w:pPr>
              <w:pStyle w:val="11"/>
              <w:widowControl w:val="0"/>
              <w:spacing w:line="360" w:lineRule="auto"/>
              <w:rPr>
                <w:rFonts w:ascii="宋体"/>
              </w:rPr>
            </w:pPr>
            <w:r>
              <w:rPr>
                <w:rFonts w:hint="eastAsia" w:ascii="宋体" w:hAnsi="宋体" w:cs="宋体"/>
              </w:rPr>
              <w:t>★</w:t>
            </w:r>
          </w:p>
        </w:tc>
      </w:tr>
      <w:tr w14:paraId="50A36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11A5F917">
            <w:pPr>
              <w:pStyle w:val="11"/>
              <w:widowControl w:val="0"/>
              <w:spacing w:line="360" w:lineRule="auto"/>
              <w:rPr>
                <w:rFonts w:ascii="宋体"/>
                <w:lang w:val="en-GB"/>
              </w:rPr>
            </w:pPr>
            <w:r>
              <w:rPr>
                <w:rFonts w:ascii="宋体"/>
                <w:lang w:val="en-GB"/>
              </w:rPr>
              <w:t>4</w:t>
            </w:r>
          </w:p>
        </w:tc>
        <w:tc>
          <w:tcPr>
            <w:tcW w:w="1284" w:type="pct"/>
            <w:vAlign w:val="center"/>
          </w:tcPr>
          <w:p w14:paraId="2751AF23">
            <w:pPr>
              <w:pStyle w:val="11"/>
              <w:widowControl w:val="0"/>
              <w:spacing w:line="360" w:lineRule="auto"/>
              <w:rPr>
                <w:rFonts w:ascii="宋体"/>
                <w:lang w:val="en-GB"/>
              </w:rPr>
            </w:pPr>
            <w:r>
              <w:rPr>
                <w:rFonts w:ascii="宋体"/>
                <w:lang w:val="en-GB"/>
              </w:rPr>
              <w:t>其它安全设施</w:t>
            </w:r>
          </w:p>
        </w:tc>
        <w:tc>
          <w:tcPr>
            <w:tcW w:w="1197" w:type="pct"/>
            <w:vAlign w:val="center"/>
          </w:tcPr>
          <w:p w14:paraId="03B8AC02">
            <w:pPr>
              <w:pStyle w:val="11"/>
              <w:widowControl w:val="0"/>
              <w:spacing w:line="360" w:lineRule="auto"/>
              <w:rPr>
                <w:rFonts w:ascii="宋体"/>
                <w:lang w:val="en-GB"/>
              </w:rPr>
            </w:pPr>
            <w:r>
              <w:rPr>
                <w:rFonts w:hint="eastAsia" w:ascii="宋体"/>
                <w:lang w:val="en-GB"/>
              </w:rPr>
              <w:t>★</w:t>
            </w:r>
          </w:p>
        </w:tc>
        <w:tc>
          <w:tcPr>
            <w:tcW w:w="1170" w:type="pct"/>
            <w:vAlign w:val="center"/>
          </w:tcPr>
          <w:p w14:paraId="5EAB777B">
            <w:pPr>
              <w:pStyle w:val="11"/>
              <w:widowControl w:val="0"/>
              <w:spacing w:line="360" w:lineRule="auto"/>
              <w:rPr>
                <w:rFonts w:ascii="宋体"/>
                <w:lang w:val="en-GB"/>
              </w:rPr>
            </w:pPr>
          </w:p>
        </w:tc>
        <w:tc>
          <w:tcPr>
            <w:tcW w:w="971" w:type="pct"/>
            <w:vAlign w:val="center"/>
          </w:tcPr>
          <w:p w14:paraId="731390B5">
            <w:pPr>
              <w:pStyle w:val="11"/>
              <w:widowControl w:val="0"/>
              <w:spacing w:line="360" w:lineRule="auto"/>
              <w:rPr>
                <w:rFonts w:ascii="宋体"/>
                <w:lang w:val="en-GB"/>
              </w:rPr>
            </w:pPr>
          </w:p>
        </w:tc>
      </w:tr>
    </w:tbl>
    <w:p w14:paraId="27A38BFE">
      <w:pPr>
        <w:pStyle w:val="8"/>
        <w:widowControl w:val="0"/>
        <w:spacing w:line="360" w:lineRule="auto"/>
        <w:ind w:firstLine="420"/>
        <w:rPr>
          <w:rFonts w:hint="eastAsia" w:ascii="黑体" w:hAnsi="黑体" w:eastAsia="黑体"/>
        </w:rPr>
      </w:pPr>
      <w:r>
        <w:rPr>
          <w:rFonts w:ascii="黑体" w:hAnsi="黑体" w:eastAsia="黑体"/>
          <w:sz w:val="21"/>
          <w:szCs w:val="21"/>
          <w:u w:color="000000"/>
        </w:rPr>
        <w:t>注：表中“★”表示采用的评价方法。</w:t>
      </w:r>
    </w:p>
    <w:p w14:paraId="33DBC718">
      <w:pPr>
        <w:pStyle w:val="2"/>
        <w:ind w:left="0" w:leftChars="0" w:firstLine="0" w:firstLineChars="0"/>
        <w:rPr>
          <w:rFonts w:hint="eastAsia" w:eastAsia="宋体"/>
          <w:lang w:eastAsia="zh-CN"/>
        </w:rPr>
      </w:pPr>
    </w:p>
    <w:p w14:paraId="6B6B5281">
      <w:pPr>
        <w:pStyle w:val="2"/>
        <w:ind w:left="0" w:leftChars="0" w:firstLine="0" w:firstLineChars="0"/>
        <w:rPr>
          <w:rFonts w:hint="eastAsia" w:eastAsia="宋体"/>
          <w:lang w:eastAsia="zh-CN"/>
        </w:rPr>
      </w:pPr>
    </w:p>
    <w:p w14:paraId="3BAFCD60">
      <w:pPr>
        <w:pStyle w:val="9"/>
        <w:widowControl w:val="0"/>
        <w:adjustRightInd w:val="0"/>
        <w:snapToGrid w:val="0"/>
        <w:spacing w:before="468" w:beforeLines="150" w:after="156" w:afterLines="50" w:line="360" w:lineRule="auto"/>
      </w:pPr>
      <w:bookmarkStart w:id="30" w:name="_Toc9894"/>
      <w:bookmarkStart w:id="31" w:name="_Toc15033761"/>
      <w:bookmarkStart w:id="32" w:name="_Toc102633914"/>
      <w:bookmarkStart w:id="33" w:name="_Toc102634414"/>
      <w:bookmarkStart w:id="34" w:name="_Toc102633988"/>
      <w:bookmarkStart w:id="35" w:name="_Toc102634276"/>
      <w:r>
        <w:t>第六章  安全对策措施及建议</w:t>
      </w:r>
      <w:bookmarkEnd w:id="30"/>
      <w:bookmarkEnd w:id="31"/>
      <w:bookmarkEnd w:id="32"/>
      <w:bookmarkEnd w:id="33"/>
      <w:bookmarkEnd w:id="34"/>
      <w:bookmarkEnd w:id="35"/>
    </w:p>
    <w:p w14:paraId="6266AEE5">
      <w:pPr>
        <w:snapToGrid w:val="0"/>
        <w:spacing w:before="120" w:after="120" w:line="560" w:lineRule="exact"/>
        <w:jc w:val="center"/>
        <w:outlineLvl w:val="1"/>
        <w:rPr>
          <w:rFonts w:ascii="Calibri" w:hAnsi="Calibri" w:eastAsia="楷体_GB2312"/>
          <w:b/>
          <w:kern w:val="0"/>
          <w:sz w:val="32"/>
          <w:szCs w:val="20"/>
        </w:rPr>
      </w:pPr>
      <w:bookmarkStart w:id="36" w:name="_Toc225046264"/>
      <w:bookmarkStart w:id="37" w:name="_Toc339456079"/>
      <w:bookmarkStart w:id="38" w:name="_Toc348877039"/>
      <w:bookmarkStart w:id="39" w:name="_Toc102633989"/>
      <w:bookmarkStart w:id="40" w:name="_Toc102634277"/>
      <w:bookmarkStart w:id="41" w:name="_Toc15033762"/>
      <w:bookmarkStart w:id="42" w:name="_Toc242065302"/>
      <w:bookmarkStart w:id="43" w:name="_Toc102634415"/>
      <w:bookmarkStart w:id="44" w:name="_Toc102633915"/>
      <w:bookmarkStart w:id="45" w:name="_Toc4961"/>
      <w:r>
        <w:rPr>
          <w:rFonts w:ascii="Calibri" w:hAnsi="Calibri" w:eastAsia="楷体_GB2312"/>
          <w:b/>
          <w:kern w:val="0"/>
          <w:sz w:val="32"/>
          <w:szCs w:val="20"/>
        </w:rPr>
        <w:t xml:space="preserve">第一节 </w:t>
      </w:r>
      <w:bookmarkEnd w:id="36"/>
      <w:bookmarkEnd w:id="37"/>
      <w:r>
        <w:rPr>
          <w:rFonts w:ascii="Calibri" w:hAnsi="Calibri" w:eastAsia="楷体_GB2312"/>
          <w:b/>
          <w:kern w:val="0"/>
          <w:sz w:val="32"/>
          <w:szCs w:val="20"/>
        </w:rPr>
        <w:t>存在的问题及整改建议</w:t>
      </w:r>
      <w:bookmarkEnd w:id="38"/>
      <w:bookmarkEnd w:id="39"/>
      <w:bookmarkEnd w:id="40"/>
      <w:bookmarkEnd w:id="41"/>
      <w:bookmarkEnd w:id="42"/>
      <w:bookmarkEnd w:id="43"/>
      <w:bookmarkEnd w:id="44"/>
      <w:bookmarkEnd w:id="45"/>
    </w:p>
    <w:p w14:paraId="18506AEC">
      <w:pPr>
        <w:adjustRightInd w:val="0"/>
        <w:snapToGrid w:val="0"/>
        <w:spacing w:line="360" w:lineRule="auto"/>
        <w:ind w:firstLine="560" w:firstLineChars="200"/>
        <w:rPr>
          <w:rFonts w:ascii="宋体"/>
          <w:kern w:val="0"/>
          <w:sz w:val="28"/>
          <w:szCs w:val="20"/>
        </w:rPr>
      </w:pPr>
      <w:bookmarkStart w:id="46" w:name="_Toc49590281"/>
      <w:bookmarkStart w:id="47" w:name="_Toc15033763"/>
      <w:r>
        <w:rPr>
          <w:rFonts w:ascii="宋体"/>
          <w:kern w:val="0"/>
          <w:sz w:val="28"/>
          <w:szCs w:val="20"/>
        </w:rPr>
        <w:t>通过现场检查和审查有关资料</w:t>
      </w:r>
      <w:r>
        <w:rPr>
          <w:rFonts w:hint="eastAsia" w:ascii="宋体"/>
          <w:kern w:val="0"/>
          <w:sz w:val="28"/>
          <w:szCs w:val="20"/>
        </w:rPr>
        <w:t>可以看出，该加油站问题如下：</w:t>
      </w:r>
    </w:p>
    <w:bookmarkEnd w:id="46"/>
    <w:bookmarkEnd w:id="47"/>
    <w:p w14:paraId="6022B081">
      <w:pPr>
        <w:widowControl/>
        <w:spacing w:line="360" w:lineRule="auto"/>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37322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2DDA3DB9">
            <w:pPr>
              <w:widowControl/>
              <w:tabs>
                <w:tab w:val="left" w:pos="6120"/>
              </w:tabs>
              <w:adjustRightInd w:val="0"/>
              <w:spacing w:before="31" w:beforeLines="10" w:after="31" w:afterLines="10" w:line="320" w:lineRule="exact"/>
              <w:jc w:val="center"/>
              <w:textAlignment w:val="baseline"/>
              <w:rPr>
                <w:rFonts w:hint="eastAsia" w:ascii="宋体" w:hAnsi="宋体"/>
                <w:b/>
                <w:bCs/>
                <w:kern w:val="0"/>
                <w:position w:val="2"/>
                <w:u w:color="000000"/>
              </w:rPr>
            </w:pPr>
            <w:r>
              <w:rPr>
                <w:rFonts w:ascii="宋体" w:hAnsi="宋体"/>
                <w:b/>
                <w:bCs/>
                <w:kern w:val="0"/>
                <w:position w:val="2"/>
                <w:u w:color="000000"/>
              </w:rPr>
              <w:t>序号</w:t>
            </w:r>
          </w:p>
        </w:tc>
        <w:tc>
          <w:tcPr>
            <w:tcW w:w="3845" w:type="dxa"/>
            <w:vAlign w:val="center"/>
          </w:tcPr>
          <w:p w14:paraId="287EBB86">
            <w:pPr>
              <w:widowControl/>
              <w:tabs>
                <w:tab w:val="left" w:pos="6120"/>
              </w:tabs>
              <w:adjustRightInd w:val="0"/>
              <w:spacing w:before="31" w:beforeLines="10" w:after="31" w:afterLines="10" w:line="320" w:lineRule="exact"/>
              <w:jc w:val="center"/>
              <w:textAlignment w:val="baseline"/>
              <w:rPr>
                <w:rFonts w:hint="eastAsia"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0ECCAF0">
            <w:pPr>
              <w:widowControl/>
              <w:tabs>
                <w:tab w:val="left" w:pos="6120"/>
              </w:tabs>
              <w:adjustRightInd w:val="0"/>
              <w:spacing w:before="31" w:beforeLines="10" w:after="31" w:afterLines="10" w:line="320" w:lineRule="exact"/>
              <w:jc w:val="center"/>
              <w:textAlignment w:val="baseline"/>
              <w:rPr>
                <w:rFonts w:hint="eastAsia" w:ascii="宋体" w:hAnsi="宋体"/>
                <w:b/>
                <w:bCs/>
                <w:kern w:val="0"/>
                <w:position w:val="2"/>
                <w:u w:color="000000"/>
              </w:rPr>
            </w:pPr>
            <w:r>
              <w:rPr>
                <w:rFonts w:ascii="宋体" w:hAnsi="宋体"/>
                <w:b/>
                <w:bCs/>
                <w:kern w:val="0"/>
                <w:position w:val="2"/>
                <w:u w:color="000000"/>
              </w:rPr>
              <w:t>整改建议措施</w:t>
            </w:r>
          </w:p>
        </w:tc>
      </w:tr>
      <w:tr w14:paraId="7DA7E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817" w:type="dxa"/>
            <w:vAlign w:val="center"/>
          </w:tcPr>
          <w:p w14:paraId="1A5E166B">
            <w:pPr>
              <w:widowControl/>
              <w:tabs>
                <w:tab w:val="left" w:pos="6120"/>
              </w:tabs>
              <w:adjustRightInd w:val="0"/>
              <w:spacing w:before="31" w:beforeLines="10" w:after="31" w:afterLines="10" w:line="320" w:lineRule="exact"/>
              <w:jc w:val="center"/>
              <w:textAlignment w:val="baseline"/>
              <w:rPr>
                <w:rFonts w:hint="eastAsia"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268EC4EA">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卸油口盖板与箱体未跨接；</w:t>
            </w:r>
          </w:p>
        </w:tc>
        <w:tc>
          <w:tcPr>
            <w:tcW w:w="4740" w:type="dxa"/>
            <w:vAlign w:val="center"/>
          </w:tcPr>
          <w:p w14:paraId="4E2507C5">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卸油口盖板应与箱体进行跨接。</w:t>
            </w:r>
          </w:p>
        </w:tc>
      </w:tr>
      <w:tr w14:paraId="5C1CCA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817" w:type="dxa"/>
            <w:vAlign w:val="center"/>
          </w:tcPr>
          <w:p w14:paraId="2CEF93EE">
            <w:pPr>
              <w:widowControl/>
              <w:tabs>
                <w:tab w:val="left" w:pos="6120"/>
              </w:tabs>
              <w:adjustRightInd w:val="0"/>
              <w:spacing w:before="31" w:beforeLines="10" w:after="31" w:afterLines="10" w:line="320" w:lineRule="exact"/>
              <w:jc w:val="center"/>
              <w:textAlignment w:val="baseline"/>
              <w:rPr>
                <w:rFonts w:hint="eastAsia" w:ascii="宋体" w:hAnsi="宋体"/>
                <w:bCs/>
                <w:kern w:val="0"/>
                <w:position w:val="2"/>
                <w:u w:color="000000"/>
              </w:rPr>
            </w:pPr>
            <w:r>
              <w:rPr>
                <w:rFonts w:hint="eastAsia" w:ascii="宋体" w:hAnsi="宋体"/>
                <w:bCs/>
                <w:kern w:val="0"/>
                <w:position w:val="2"/>
                <w:u w:color="000000"/>
              </w:rPr>
              <w:t>2</w:t>
            </w:r>
          </w:p>
        </w:tc>
        <w:tc>
          <w:tcPr>
            <w:tcW w:w="3845" w:type="dxa"/>
            <w:vAlign w:val="center"/>
          </w:tcPr>
          <w:p w14:paraId="7E0ADF75">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油罐测漏仪未正常使用；</w:t>
            </w:r>
          </w:p>
        </w:tc>
        <w:tc>
          <w:tcPr>
            <w:tcW w:w="4740" w:type="dxa"/>
            <w:vAlign w:val="center"/>
          </w:tcPr>
          <w:p w14:paraId="022B8F15">
            <w:pPr>
              <w:widowControl/>
              <w:tabs>
                <w:tab w:val="left" w:pos="6120"/>
              </w:tabs>
              <w:adjustRightInd w:val="0"/>
              <w:spacing w:before="31" w:beforeLines="10" w:after="31" w:afterLines="10" w:line="320" w:lineRule="exact"/>
              <w:jc w:val="center"/>
              <w:textAlignment w:val="baseline"/>
              <w:rPr>
                <w:rFonts w:hint="eastAsia" w:ascii="宋体" w:hAnsi="宋体"/>
                <w:kern w:val="0"/>
                <w:u w:color="000000"/>
              </w:rPr>
            </w:pPr>
            <w:r>
              <w:rPr>
                <w:rFonts w:hint="eastAsia" w:ascii="宋体" w:hAnsi="宋体"/>
                <w:kern w:val="0"/>
                <w:u w:color="000000"/>
              </w:rPr>
              <w:t>油罐测漏仪</w:t>
            </w:r>
            <w:r>
              <w:rPr>
                <w:rFonts w:hint="eastAsia" w:ascii="宋体" w:hAnsi="宋体"/>
                <w:kern w:val="0"/>
                <w:u w:color="000000"/>
                <w:lang w:val="en-US" w:eastAsia="zh-CN"/>
              </w:rPr>
              <w:t>应</w:t>
            </w:r>
            <w:r>
              <w:rPr>
                <w:rFonts w:hint="eastAsia" w:ascii="宋体" w:hAnsi="宋体"/>
                <w:kern w:val="0"/>
                <w:u w:color="000000"/>
              </w:rPr>
              <w:t>正常连接使用。</w:t>
            </w:r>
          </w:p>
        </w:tc>
      </w:tr>
    </w:tbl>
    <w:p w14:paraId="3D6D6843">
      <w:pPr>
        <w:tabs>
          <w:tab w:val="left" w:pos="698"/>
        </w:tabs>
        <w:ind w:firstLine="560" w:firstLineChars="200"/>
        <w:jc w:val="left"/>
        <w:rPr>
          <w:kern w:val="0"/>
          <w:sz w:val="28"/>
          <w:szCs w:val="20"/>
        </w:rPr>
        <w:sectPr>
          <w:pgSz w:w="11906" w:h="16838"/>
          <w:pgMar w:top="1417" w:right="1134" w:bottom="1134" w:left="1361" w:header="850" w:footer="340" w:gutter="0"/>
          <w:cols w:space="720" w:num="1"/>
          <w:docGrid w:type="lines" w:linePitch="312" w:charSpace="0"/>
        </w:sectPr>
      </w:pPr>
      <w:r>
        <w:rPr>
          <w:rFonts w:hint="eastAsia" w:ascii="宋体"/>
          <w:kern w:val="0"/>
          <w:sz w:val="28"/>
          <w:szCs w:val="20"/>
        </w:rPr>
        <w:t>该加油站在安全管理、站址选择及总平面布置、加油工艺及设施、其它设施等方面符合有关法律、标准规范的要求。</w:t>
      </w:r>
    </w:p>
    <w:p w14:paraId="5F04796A">
      <w:pPr>
        <w:pStyle w:val="2"/>
        <w:ind w:left="0" w:leftChars="0" w:firstLine="0" w:firstLineChars="0"/>
        <w:rPr>
          <w:rFonts w:hint="eastAsia" w:eastAsia="宋体"/>
          <w:lang w:eastAsia="zh-CN"/>
        </w:rPr>
      </w:pPr>
    </w:p>
    <w:p w14:paraId="15695B6E">
      <w:pPr>
        <w:pStyle w:val="2"/>
        <w:ind w:left="0" w:leftChars="0" w:firstLine="0" w:firstLineChars="0"/>
        <w:rPr>
          <w:rFonts w:hint="eastAsia" w:eastAsia="宋体"/>
          <w:lang w:eastAsia="zh-CN"/>
        </w:rPr>
      </w:pPr>
    </w:p>
    <w:p w14:paraId="1C6BE3B1">
      <w:pPr>
        <w:pStyle w:val="2"/>
        <w:ind w:left="0" w:leftChars="0" w:firstLine="0" w:firstLineChars="0"/>
        <w:rPr>
          <w:rFonts w:hint="eastAsia" w:eastAsia="宋体"/>
          <w:lang w:eastAsia="zh-CN"/>
        </w:rPr>
      </w:pPr>
    </w:p>
    <w:p w14:paraId="76EC4DB9">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2880" cy="7019925"/>
            <wp:effectExtent l="0" t="0" r="13970" b="9525"/>
            <wp:docPr id="13" name="图片 13" descr="faf01913b31b2ddff09ed21f40a3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af01913b31b2ddff09ed21f40a3d57"/>
                    <pic:cNvPicPr>
                      <a:picLocks noChangeAspect="1"/>
                    </pic:cNvPicPr>
                  </pic:nvPicPr>
                  <pic:blipFill>
                    <a:blip r:embed="rId11"/>
                    <a:stretch>
                      <a:fillRect/>
                    </a:stretch>
                  </pic:blipFill>
                  <pic:spPr>
                    <a:xfrm>
                      <a:off x="0" y="0"/>
                      <a:ext cx="5262880" cy="7019925"/>
                    </a:xfrm>
                    <a:prstGeom prst="rect">
                      <a:avLst/>
                    </a:prstGeom>
                  </pic:spPr>
                </pic:pic>
              </a:graphicData>
            </a:graphic>
          </wp:inline>
        </w:drawing>
      </w:r>
    </w:p>
    <w:p w14:paraId="656A812B">
      <w:pPr>
        <w:pStyle w:val="2"/>
        <w:ind w:left="0" w:leftChars="0" w:firstLine="0" w:firstLineChars="0"/>
        <w:rPr>
          <w:rFonts w:hint="eastAsia" w:eastAsia="宋体"/>
          <w:lang w:eastAsia="zh-CN"/>
        </w:rPr>
      </w:pPr>
    </w:p>
    <w:p w14:paraId="1E1695C8">
      <w:pPr>
        <w:pStyle w:val="2"/>
        <w:ind w:left="0" w:leftChars="0" w:firstLine="0" w:firstLineChars="0"/>
        <w:rPr>
          <w:rFonts w:hint="eastAsia" w:eastAsia="宋体"/>
          <w:lang w:eastAsia="zh-CN"/>
        </w:rPr>
      </w:pPr>
    </w:p>
    <w:p w14:paraId="4C9553B6">
      <w:pPr>
        <w:pStyle w:val="2"/>
        <w:ind w:left="0" w:leftChars="0" w:firstLine="0" w:firstLineChars="0"/>
        <w:rPr>
          <w:rFonts w:hint="eastAsia" w:eastAsia="宋体"/>
          <w:lang w:eastAsia="zh-CN"/>
        </w:rPr>
      </w:pPr>
    </w:p>
    <w:p w14:paraId="018F1509">
      <w:pPr>
        <w:pStyle w:val="2"/>
        <w:ind w:left="0" w:leftChars="0" w:firstLine="0" w:firstLineChars="0"/>
        <w:rPr>
          <w:rFonts w:hint="eastAsia" w:eastAsia="宋体"/>
          <w:lang w:eastAsia="zh-CN"/>
        </w:rPr>
      </w:pPr>
    </w:p>
    <w:p w14:paraId="3AE8A066">
      <w:pPr>
        <w:pStyle w:val="2"/>
        <w:ind w:left="0" w:leftChars="0" w:firstLine="0" w:firstLineChars="0"/>
        <w:rPr>
          <w:rFonts w:hint="eastAsia" w:eastAsia="宋体"/>
          <w:lang w:eastAsia="zh-CN"/>
        </w:rPr>
      </w:pPr>
    </w:p>
    <w:p w14:paraId="2AEE9BC1">
      <w:pPr>
        <w:pStyle w:val="2"/>
        <w:ind w:left="0" w:leftChars="0" w:firstLine="0" w:firstLineChars="0"/>
        <w:rPr>
          <w:rFonts w:hint="eastAsia" w:eastAsia="宋体"/>
          <w:lang w:eastAsia="zh-CN"/>
        </w:rPr>
      </w:pPr>
    </w:p>
    <w:p w14:paraId="063177F1">
      <w:pPr>
        <w:pStyle w:val="2"/>
        <w:ind w:left="0" w:leftChars="0" w:firstLine="0" w:firstLineChars="0"/>
        <w:rPr>
          <w:rFonts w:hint="eastAsia" w:eastAsia="宋体"/>
          <w:lang w:eastAsia="zh-CN"/>
        </w:rPr>
      </w:pPr>
    </w:p>
    <w:p w14:paraId="02C070CF">
      <w:pPr>
        <w:pStyle w:val="2"/>
        <w:ind w:left="0" w:leftChars="0" w:firstLine="0" w:firstLineChars="0"/>
        <w:rPr>
          <w:rFonts w:hint="eastAsia" w:eastAsia="宋体"/>
          <w:lang w:eastAsia="zh-CN"/>
        </w:rPr>
      </w:pPr>
    </w:p>
    <w:p w14:paraId="0B9CA652">
      <w:pPr>
        <w:pStyle w:val="2"/>
        <w:ind w:left="0" w:leftChars="0" w:firstLine="0" w:firstLineChars="0"/>
        <w:rPr>
          <w:rFonts w:hint="eastAsia" w:eastAsia="宋体"/>
          <w:lang w:eastAsia="zh-CN"/>
        </w:rPr>
      </w:pPr>
      <w:bookmarkStart w:id="48" w:name="_GoBack"/>
      <w:r>
        <w:rPr>
          <w:rFonts w:hint="eastAsia" w:eastAsia="宋体"/>
          <w:lang w:eastAsia="zh-CN"/>
        </w:rPr>
        <w:drawing>
          <wp:inline distT="0" distB="0" distL="114300" distR="114300">
            <wp:extent cx="5162550" cy="7409815"/>
            <wp:effectExtent l="0" t="0" r="0" b="635"/>
            <wp:docPr id="14" name="图片 14" descr="da2c2c4fe1573261f307b3a76f9a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a2c2c4fe1573261f307b3a76f9a843"/>
                    <pic:cNvPicPr>
                      <a:picLocks noChangeAspect="1"/>
                    </pic:cNvPicPr>
                  </pic:nvPicPr>
                  <pic:blipFill>
                    <a:blip r:embed="rId12"/>
                    <a:srcRect l="1605" t="1266" r="6636"/>
                    <a:stretch>
                      <a:fillRect/>
                    </a:stretch>
                  </pic:blipFill>
                  <pic:spPr>
                    <a:xfrm>
                      <a:off x="0" y="0"/>
                      <a:ext cx="5162550" cy="7409815"/>
                    </a:xfrm>
                    <a:prstGeom prst="rect">
                      <a:avLst/>
                    </a:prstGeom>
                  </pic:spPr>
                </pic:pic>
              </a:graphicData>
            </a:graphic>
          </wp:inline>
        </w:drawing>
      </w:r>
      <w:bookmarkEnd w:id="48"/>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5E2971C7"/>
    <w:rsid w:val="3AB85F64"/>
    <w:rsid w:val="5E2971C7"/>
    <w:rsid w:val="720D6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3259</Words>
  <Characters>3635</Characters>
  <Lines>0</Lines>
  <Paragraphs>0</Paragraphs>
  <TotalTime>0</TotalTime>
  <ScaleCrop>false</ScaleCrop>
  <LinksUpToDate>false</LinksUpToDate>
  <CharactersWithSpaces>6917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2024-09-02T07:46:00Z</dcterms:created>
  <dc:creator>Administrator</dc:creator>
  <cp:lastModifiedBy>Administrator</cp:lastModifiedBy>
  <dcterms:modified xsi:type="dcterms:W3CDTF">2024-09-02T08:36:44Z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1772450339544B02800CCF9FE1B155F6_11</vt:lpwstr>
  </property>
</Properties>
</file>