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r>
        <w:rPr>
          <w:rFonts w:hint="eastAsia" w:ascii="黑体" w:eastAsia="黑体"/>
          <w:color w:val="000000"/>
          <w:sz w:val="28"/>
          <w:szCs w:val="28"/>
        </w:rPr>
        <w:t>20</w:t>
      </w:r>
      <w:r>
        <w:rPr>
          <w:rFonts w:hint="eastAsia" w:ascii="黑体" w:eastAsia="黑体"/>
          <w:color w:val="000000"/>
          <w:sz w:val="28"/>
          <w:szCs w:val="28"/>
          <w:lang w:val="en-US" w:eastAsia="zh-CN"/>
        </w:rPr>
        <w:t>21</w:t>
      </w:r>
      <w:r>
        <w:rPr>
          <w:rFonts w:hint="eastAsia" w:ascii="黑体" w:eastAsia="黑体"/>
          <w:color w:val="000000"/>
          <w:sz w:val="28"/>
          <w:szCs w:val="28"/>
        </w:rPr>
        <w:t>年安</w:t>
      </w:r>
      <w:r>
        <w:rPr>
          <w:rFonts w:hint="eastAsia" w:ascii="黑体" w:eastAsia="黑体"/>
          <w:sz w:val="28"/>
          <w:szCs w:val="28"/>
        </w:rPr>
        <w:t>全评价项目信息表</w:t>
      </w:r>
    </w:p>
    <w:p>
      <w:pPr>
        <w:jc w:val="left"/>
        <w:rPr>
          <w:rFonts w:hint="eastAsia"/>
          <w:b/>
          <w:bCs/>
          <w:color w:val="FF0000"/>
          <w:kern w:val="0"/>
          <w:sz w:val="36"/>
        </w:rPr>
      </w:pPr>
      <w:r>
        <w:rPr>
          <w:rFonts w:hint="eastAsia"/>
          <w:kern w:val="0"/>
        </w:rPr>
        <w:t>项目编</w:t>
      </w:r>
      <w:r>
        <w:rPr>
          <w:rFonts w:hint="eastAsia"/>
          <w:color w:val="000000"/>
          <w:kern w:val="0"/>
        </w:rPr>
        <w:t>号：</w:t>
      </w:r>
    </w:p>
    <w:tbl>
      <w:tblPr>
        <w:tblStyle w:val="5"/>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83"/>
        <w:gridCol w:w="1306"/>
        <w:gridCol w:w="3854"/>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rPr>
                <w:kern w:val="0"/>
              </w:rPr>
            </w:pPr>
            <w:r>
              <w:rPr>
                <w:rFonts w:hint="eastAsia"/>
                <w:kern w:val="0"/>
              </w:rPr>
              <w:t>项目名称</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szCs w:val="21"/>
              </w:rPr>
            </w:pPr>
            <w:r>
              <w:rPr>
                <w:rFonts w:hint="eastAsia"/>
                <w:color w:val="000000"/>
                <w:szCs w:val="21"/>
                <w:lang w:val="en-US" w:eastAsia="zh-CN"/>
              </w:rPr>
              <w:t>中国石化山东泰山石油股份有限公司泰安第二十四加油站</w:t>
            </w:r>
            <w:r>
              <w:rPr>
                <w:rFonts w:hint="eastAsia"/>
                <w:color w:val="000000"/>
                <w:szCs w:val="21"/>
              </w:rPr>
              <w:t>经营危险化学品项目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项目简介</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000000"/>
                <w:szCs w:val="21"/>
                <w:lang w:val="en-US" w:eastAsia="zh-CN"/>
              </w:rPr>
            </w:pPr>
            <w:r>
              <w:rPr>
                <w:rFonts w:hint="eastAsia" w:ascii="宋体" w:hAnsi="宋体"/>
                <w:color w:val="000000"/>
                <w:szCs w:val="21"/>
                <w:lang w:val="en-US" w:eastAsia="zh-CN"/>
              </w:rPr>
              <w:t>中国石化山东泰山石油股份有限公司泰安第二十四加油站位于泰安市东湖路中段路南泰山区广电局对过。该站北侧为东湖路和架空电力线，东侧为民房，南侧为民房和箱式变压器，西侧为泰山公安办公楼。该站经营许可范围为汽油、乙醇汽油、柴油。加油区在站房北侧，现有2台双枪加油机、1台单枪加油机，均为自吸式；油罐区在加油区北侧非行车道下，现有3台埋地双层储罐（包括1台30m³92#乙醇汽油罐、1台20m³95#汽油罐、1台20m³98#汽油罐），3台油罐均安装了液位仪、检漏仪，其油罐埋地设置，通气管2根；该站汽油设有加油、卸油油气回收系统及油气处理装置（三次油气回收系统）；按《汽车加油加气加氢站技术标准》GB50156-2021标准规定：V=70m3，该站属三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评价人员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姓</w:t>
            </w:r>
            <w:r>
              <w:rPr>
                <w:kern w:val="0"/>
              </w:rPr>
              <w:t xml:space="preserve">  </w:t>
            </w:r>
            <w:r>
              <w:rPr>
                <w:rFonts w:hint="eastAsia"/>
                <w:kern w:val="0"/>
              </w:rPr>
              <w:t>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项目组成员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lang w:val="en-US" w:eastAsia="zh-CN"/>
              </w:rPr>
            </w:pPr>
            <w:r>
              <w:rPr>
                <w:rFonts w:hint="eastAsia"/>
                <w:kern w:val="0"/>
                <w:lang w:val="en-US" w:eastAsia="zh-CN"/>
              </w:rPr>
              <w:t>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lang w:val="en-US" w:eastAsia="zh-CN"/>
              </w:rPr>
            </w:pPr>
            <w:r>
              <w:rPr>
                <w:rFonts w:hint="eastAsia"/>
                <w:kern w:val="0"/>
                <w:lang w:val="en-US" w:eastAsia="zh-CN"/>
              </w:rPr>
              <w:t>郝大平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报告编制人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报告审核人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过程控制负责人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刘云红</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赵云峰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技术专家</w:t>
            </w:r>
          </w:p>
          <w:p>
            <w:pPr>
              <w:jc w:val="center"/>
              <w:rPr>
                <w:kern w:val="0"/>
              </w:rPr>
            </w:pPr>
            <w:r>
              <w:rPr>
                <w:rFonts w:hint="eastAsia"/>
                <w:kern w:val="0"/>
              </w:rPr>
              <w:t>或有关技术人员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rPr>
            </w:pPr>
            <w:r>
              <w:rPr>
                <w:rFonts w:hint="eastAsia"/>
                <w:color w:val="000000"/>
                <w:kern w:val="0"/>
              </w:rPr>
              <w:t>到现场开展安全评价工作情况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Cs w:val="21"/>
              </w:rPr>
            </w:pPr>
            <w:r>
              <w:rPr>
                <w:rFonts w:hint="eastAsia"/>
                <w:color w:val="000000"/>
                <w:kern w:val="0"/>
                <w:szCs w:val="21"/>
              </w:rPr>
              <w:t>时</w:t>
            </w:r>
            <w:r>
              <w:rPr>
                <w:color w:val="000000"/>
                <w:kern w:val="0"/>
                <w:szCs w:val="21"/>
              </w:rPr>
              <w:t xml:space="preserve">  </w:t>
            </w:r>
            <w:r>
              <w:rPr>
                <w:rFonts w:hint="eastAsia"/>
                <w:color w:val="000000"/>
                <w:kern w:val="0"/>
                <w:szCs w:val="21"/>
              </w:rPr>
              <w:t>间</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r>
              <w:rPr>
                <w:rFonts w:hint="eastAsia"/>
                <w:kern w:val="0"/>
                <w:szCs w:val="21"/>
              </w:rPr>
              <w:t>到现场主要人员</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2024.12.28</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kern w:val="0"/>
                <w:szCs w:val="21"/>
                <w:lang w:val="en-US" w:eastAsia="zh-CN"/>
              </w:rPr>
            </w:pPr>
            <w:r>
              <w:rPr>
                <w:rFonts w:hint="eastAsia"/>
                <w:kern w:val="0"/>
                <w:lang w:val="en-US" w:eastAsia="zh-CN"/>
              </w:rPr>
              <w:t>马琳琳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lang w:val="en-US" w:eastAsia="zh-CN"/>
              </w:rPr>
            </w:pPr>
            <w:r>
              <w:rPr>
                <w:rFonts w:hint="eastAsia"/>
                <w:color w:val="000000"/>
                <w:kern w:val="0"/>
                <w:lang w:val="en-US" w:eastAsia="zh-CN"/>
              </w:rPr>
              <w:t>初访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2024.2.24</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000000"/>
                <w:kern w:val="0"/>
                <w:szCs w:val="21"/>
                <w:lang w:val="en-US"/>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r>
              <w:rPr>
                <w:rFonts w:hint="eastAsia"/>
                <w:color w:val="000000"/>
                <w:kern w:val="0"/>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2024.2.26</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Cs w:val="21"/>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r>
              <w:rPr>
                <w:rFonts w:hint="eastAsia"/>
                <w:color w:val="000000"/>
                <w:kern w:val="0"/>
                <w:lang w:val="en-US"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0"/>
                <w:sz w:val="21"/>
                <w:szCs w:val="21"/>
                <w:lang w:val="en-US" w:eastAsia="zh-CN" w:bidi="ar-SA"/>
              </w:rPr>
            </w:pP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000000"/>
                <w:kern w:val="2"/>
                <w:sz w:val="21"/>
                <w:szCs w:val="21"/>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000000"/>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000000"/>
                <w:kern w:val="0"/>
                <w:lang w:val="en-US" w:eastAsia="zh-CN"/>
              </w:rPr>
            </w:pPr>
            <w:r>
              <w:rPr>
                <w:rFonts w:hint="eastAsia"/>
                <w:color w:val="000000"/>
                <w:kern w:val="0"/>
              </w:rPr>
              <w:t>安全评价报告提交时间：</w:t>
            </w:r>
            <w:r>
              <w:rPr>
                <w:rFonts w:hint="eastAsia"/>
                <w:color w:val="000000"/>
                <w:kern w:val="0"/>
                <w:lang w:val="en-US" w:eastAsia="zh-CN"/>
              </w:rPr>
              <w:t>2024年4月10日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有必要公开的其它内容：</w:t>
            </w:r>
          </w:p>
        </w:tc>
      </w:tr>
    </w:tbl>
    <w:p>
      <w:pPr>
        <w:pStyle w:val="8"/>
      </w:pPr>
    </w:p>
    <w:p>
      <w:pPr>
        <w:pStyle w:val="8"/>
      </w:pPr>
    </w:p>
    <w:p>
      <w:pPr>
        <w:tabs>
          <w:tab w:val="left" w:pos="735"/>
        </w:tabs>
        <w:jc w:val="both"/>
      </w:pPr>
    </w:p>
    <w:p>
      <w:pPr>
        <w:tabs>
          <w:tab w:val="left" w:pos="735"/>
        </w:tabs>
        <w:jc w:val="center"/>
      </w:pPr>
    </w:p>
    <w:p>
      <w:pPr>
        <w:tabs>
          <w:tab w:val="left" w:pos="735"/>
        </w:tabs>
        <w:jc w:val="center"/>
        <w:rPr>
          <w:rFonts w:hint="eastAsia" w:eastAsia="宋体"/>
          <w:lang w:eastAsia="zh-CN"/>
        </w:rPr>
      </w:pPr>
      <w:r>
        <w:rPr>
          <w:rFonts w:hint="eastAsia" w:eastAsia="宋体"/>
          <w:lang w:eastAsia="zh-CN"/>
        </w:rPr>
        <w:drawing>
          <wp:inline distT="0" distB="0" distL="114300" distR="114300">
            <wp:extent cx="4828540" cy="3461385"/>
            <wp:effectExtent l="0" t="0" r="0" b="0"/>
            <wp:docPr id="3" name="图片 3" descr="初访人员加油站人员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初访人员加油站人员合照"/>
                    <pic:cNvPicPr>
                      <a:picLocks noChangeAspect="1"/>
                    </pic:cNvPicPr>
                  </pic:nvPicPr>
                  <pic:blipFill>
                    <a:blip r:embed="rId4"/>
                    <a:srcRect b="4419"/>
                    <a:stretch>
                      <a:fillRect/>
                    </a:stretch>
                  </pic:blipFill>
                  <pic:spPr>
                    <a:xfrm>
                      <a:off x="0" y="0"/>
                      <a:ext cx="4828540" cy="3461385"/>
                    </a:xfrm>
                    <a:prstGeom prst="rect">
                      <a:avLst/>
                    </a:prstGeom>
                  </pic:spPr>
                </pic:pic>
              </a:graphicData>
            </a:graphic>
          </wp:inline>
        </w:drawing>
      </w:r>
    </w:p>
    <w:p>
      <w:pPr>
        <w:jc w:val="center"/>
        <w:rPr>
          <w:rFonts w:hint="eastAsia" w:eastAsia="宋体"/>
          <w:lang w:eastAsia="zh-CN"/>
        </w:rPr>
      </w:pPr>
      <w:r>
        <w:rPr>
          <w:rFonts w:hint="eastAsia" w:eastAsia="宋体"/>
          <w:lang w:eastAsia="zh-CN"/>
        </w:rPr>
        <w:drawing>
          <wp:inline distT="0" distB="0" distL="114300" distR="114300">
            <wp:extent cx="4797425" cy="3425825"/>
            <wp:effectExtent l="0" t="0" r="3175" b="3175"/>
            <wp:docPr id="4" name="图片 4" descr="考察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考察人员"/>
                    <pic:cNvPicPr>
                      <a:picLocks noChangeAspect="1"/>
                    </pic:cNvPicPr>
                  </pic:nvPicPr>
                  <pic:blipFill>
                    <a:blip r:embed="rId5"/>
                    <a:srcRect b="4810"/>
                    <a:stretch>
                      <a:fillRect/>
                    </a:stretch>
                  </pic:blipFill>
                  <pic:spPr>
                    <a:xfrm>
                      <a:off x="0" y="0"/>
                      <a:ext cx="4797425" cy="3425825"/>
                    </a:xfrm>
                    <a:prstGeom prst="rect">
                      <a:avLst/>
                    </a:prstGeom>
                  </pic:spPr>
                </pic:pic>
              </a:graphicData>
            </a:graphic>
          </wp:inline>
        </w:drawing>
      </w:r>
    </w:p>
    <w:p>
      <w:pPr>
        <w:rPr>
          <w:rFonts w:hint="eastAsia" w:ascii="Calibri" w:hAnsi="Calibri" w:eastAsia="楷体_GB2312"/>
          <w:b/>
          <w:color w:val="auto"/>
          <w:kern w:val="0"/>
          <w:sz w:val="32"/>
          <w:szCs w:val="20"/>
          <w:lang w:val="en-US" w:eastAsia="zh-CN"/>
        </w:rPr>
      </w:pPr>
      <w:bookmarkStart w:id="0" w:name="_Toc26504"/>
      <w:bookmarkStart w:id="1" w:name="_Toc102633970"/>
      <w:bookmarkStart w:id="2" w:name="_Toc102634396"/>
      <w:bookmarkStart w:id="3" w:name="_Toc272364524"/>
      <w:bookmarkStart w:id="4" w:name="_Toc30066"/>
      <w:bookmarkStart w:id="5" w:name="_Toc208733856"/>
      <w:bookmarkStart w:id="6" w:name="_Toc15033743"/>
      <w:bookmarkStart w:id="7" w:name="_Toc102634227"/>
      <w:bookmarkStart w:id="8" w:name="_Toc102633896"/>
      <w:r>
        <w:rPr>
          <w:rFonts w:hint="eastAsia" w:ascii="Calibri" w:hAnsi="Calibri" w:eastAsia="楷体_GB2312"/>
          <w:b/>
          <w:color w:val="auto"/>
          <w:kern w:val="0"/>
          <w:sz w:val="32"/>
          <w:szCs w:val="20"/>
          <w:lang w:val="en-US" w:eastAsia="zh-CN"/>
        </w:rPr>
        <w:br w:type="page"/>
      </w:r>
    </w:p>
    <w:p>
      <w:pPr>
        <w:snapToGrid w:val="0"/>
        <w:spacing w:line="360" w:lineRule="auto"/>
        <w:jc w:val="center"/>
        <w:outlineLvl w:val="1"/>
        <w:rPr>
          <w:rFonts w:ascii="Calibri" w:hAnsi="Calibri" w:eastAsia="楷体_GB2312"/>
          <w:b/>
          <w:color w:val="auto"/>
          <w:kern w:val="0"/>
          <w:sz w:val="32"/>
          <w:szCs w:val="20"/>
        </w:rPr>
      </w:pPr>
      <w:r>
        <w:rPr>
          <w:rFonts w:hint="eastAsia" w:ascii="Calibri" w:hAnsi="Calibri" w:eastAsia="楷体_GB2312"/>
          <w:b/>
          <w:color w:val="auto"/>
          <w:kern w:val="0"/>
          <w:sz w:val="32"/>
          <w:szCs w:val="20"/>
          <w:lang w:val="en-US" w:eastAsia="zh-CN"/>
        </w:rPr>
        <w:t>一、</w:t>
      </w:r>
      <w:r>
        <w:rPr>
          <w:rFonts w:ascii="Calibri" w:hAnsi="Calibri" w:eastAsia="楷体_GB2312"/>
          <w:b/>
          <w:color w:val="auto"/>
          <w:kern w:val="0"/>
          <w:sz w:val="32"/>
          <w:szCs w:val="20"/>
        </w:rPr>
        <w:t xml:space="preserve"> 加油站基本情况</w:t>
      </w:r>
      <w:bookmarkEnd w:id="0"/>
      <w:bookmarkEnd w:id="1"/>
      <w:bookmarkEnd w:id="2"/>
      <w:bookmarkEnd w:id="3"/>
      <w:bookmarkEnd w:id="4"/>
      <w:bookmarkEnd w:id="5"/>
      <w:bookmarkEnd w:id="6"/>
      <w:bookmarkEnd w:id="7"/>
      <w:bookmarkEnd w:id="8"/>
    </w:p>
    <w:p>
      <w:pPr>
        <w:adjustRightInd w:val="0"/>
        <w:snapToGrid w:val="0"/>
        <w:spacing w:line="360" w:lineRule="auto"/>
        <w:ind w:firstLine="560" w:firstLineChars="200"/>
        <w:rPr>
          <w:rFonts w:ascii="宋体"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8"/>
          <w:szCs w:val="21"/>
          <w14:textFill>
            <w14:solidFill>
              <w14:schemeClr w14:val="tx1"/>
            </w14:solidFill>
          </w14:textFill>
        </w:rPr>
        <w:t>中国石化山东泰山石油股份有限公司</w:t>
      </w:r>
      <w:r>
        <w:rPr>
          <w:rFonts w:hint="eastAsia" w:ascii="宋体" w:hAnsi="宋体" w:eastAsia="宋体" w:cs="Times New Roman"/>
          <w:color w:val="000000" w:themeColor="text1"/>
          <w:sz w:val="28"/>
          <w:szCs w:val="21"/>
          <w:lang w:eastAsia="zh-CN"/>
          <w14:textFill>
            <w14:solidFill>
              <w14:schemeClr w14:val="tx1"/>
            </w14:solidFill>
          </w14:textFill>
        </w:rPr>
        <w:t>泰安第二十四加油站</w:t>
      </w:r>
      <w:r>
        <w:rPr>
          <w:rFonts w:hint="eastAsia" w:ascii="宋体" w:hAnsi="宋体" w:eastAsia="宋体" w:cs="Times New Roman"/>
          <w:color w:val="000000" w:themeColor="text1"/>
          <w:sz w:val="28"/>
          <w:szCs w:val="21"/>
          <w14:textFill>
            <w14:solidFill>
              <w14:schemeClr w14:val="tx1"/>
            </w14:solidFill>
          </w14:textFill>
        </w:rPr>
        <w:t>位于</w:t>
      </w:r>
      <w:r>
        <w:rPr>
          <w:rFonts w:hint="eastAsia" w:ascii="宋体" w:hAnsi="宋体" w:eastAsia="宋体" w:cs="Times New Roman"/>
          <w:color w:val="000000" w:themeColor="text1"/>
          <w:sz w:val="28"/>
          <w:szCs w:val="21"/>
          <w:lang w:eastAsia="zh-CN"/>
          <w14:textFill>
            <w14:solidFill>
              <w14:schemeClr w14:val="tx1"/>
            </w14:solidFill>
          </w14:textFill>
        </w:rPr>
        <w:t>泰安市东湖路中段路南泰山区广电局对过</w:t>
      </w:r>
      <w:r>
        <w:rPr>
          <w:rFonts w:hint="eastAsia" w:ascii="宋体" w:hAnsi="宋体" w:eastAsia="宋体" w:cs="Times New Roman"/>
          <w:color w:val="000000" w:themeColor="text1"/>
          <w:sz w:val="28"/>
          <w:szCs w:val="21"/>
          <w14:textFill>
            <w14:solidFill>
              <w14:schemeClr w14:val="tx1"/>
            </w14:solidFill>
          </w14:textFill>
        </w:rPr>
        <w:t>。该站</w:t>
      </w:r>
      <w:r>
        <w:rPr>
          <w:rFonts w:hint="eastAsia" w:ascii="宋体" w:hAnsi="宋体" w:eastAsia="宋体" w:cs="Times New Roman"/>
          <w:color w:val="000000" w:themeColor="text1"/>
          <w:sz w:val="28"/>
          <w:szCs w:val="21"/>
          <w:lang w:eastAsia="zh-CN"/>
          <w14:textFill>
            <w14:solidFill>
              <w14:schemeClr w14:val="tx1"/>
            </w14:solidFill>
          </w14:textFill>
        </w:rPr>
        <w:t>北侧为东湖路和架空电力线，东侧为民房，南侧为民房和箱式变压器，西侧为泰山公安办公楼</w:t>
      </w:r>
      <w:r>
        <w:rPr>
          <w:rFonts w:hint="eastAsia" w:ascii="宋体" w:hAnsi="宋体" w:eastAsia="宋体" w:cs="Times New Roman"/>
          <w:color w:val="000000" w:themeColor="text1"/>
          <w:sz w:val="28"/>
          <w:szCs w:val="21"/>
          <w14:textFill>
            <w14:solidFill>
              <w14:schemeClr w14:val="tx1"/>
            </w14:solidFill>
          </w14:textFill>
        </w:rPr>
        <w:t>。该站经营许可范围为汽油、乙醇汽油、柴油，现其主要经营汽油、乙醇汽油</w:t>
      </w:r>
      <w:r>
        <w:rPr>
          <w:rFonts w:hint="eastAsia" w:ascii="宋体" w:hAnsi="宋体" w:eastAsia="宋体" w:cs="Times New Roman"/>
          <w:color w:val="000000" w:themeColor="text1"/>
          <w:sz w:val="28"/>
          <w:szCs w:val="21"/>
          <w:lang w:eastAsia="zh-CN"/>
          <w14:textFill>
            <w14:solidFill>
              <w14:schemeClr w14:val="tx1"/>
            </w14:solidFill>
          </w14:textFill>
        </w:rPr>
        <w:t>，</w:t>
      </w:r>
      <w:r>
        <w:rPr>
          <w:rFonts w:hint="eastAsia" w:ascii="宋体" w:hAnsi="宋体" w:eastAsia="宋体" w:cs="Times New Roman"/>
          <w:color w:val="000000" w:themeColor="text1"/>
          <w:sz w:val="28"/>
          <w:szCs w:val="21"/>
          <w:lang w:val="en-US" w:eastAsia="zh-CN"/>
          <w14:textFill>
            <w14:solidFill>
              <w14:schemeClr w14:val="tx1"/>
            </w14:solidFill>
          </w14:textFill>
        </w:rPr>
        <w:t>因市场原因未经营柴油</w:t>
      </w:r>
      <w:r>
        <w:rPr>
          <w:rFonts w:hint="eastAsia" w:ascii="宋体" w:hAnsi="宋体" w:eastAsia="宋体" w:cs="Times New Roman"/>
          <w:snapToGrid w:val="0"/>
          <w:color w:val="000000" w:themeColor="text1"/>
          <w:kern w:val="0"/>
          <w:sz w:val="28"/>
          <w:szCs w:val="21"/>
          <w14:textFill>
            <w14:solidFill>
              <w14:schemeClr w14:val="tx1"/>
            </w14:solidFill>
          </w14:textFill>
        </w:rPr>
        <w:t>。</w:t>
      </w:r>
      <w:r>
        <w:rPr>
          <w:rFonts w:hint="eastAsia" w:ascii="宋体" w:hAnsi="宋体" w:eastAsia="宋体" w:cs="Times New Roman"/>
          <w:color w:val="000000" w:themeColor="text1"/>
          <w:sz w:val="28"/>
          <w:szCs w:val="21"/>
          <w14:textFill>
            <w14:solidFill>
              <w14:schemeClr w14:val="tx1"/>
            </w14:solidFill>
          </w14:textFill>
        </w:rPr>
        <w:t>此次现状评价报告与三年前报告相比，</w:t>
      </w:r>
      <w:r>
        <w:rPr>
          <w:rFonts w:hint="eastAsia" w:ascii="宋体" w:hAnsi="宋体" w:eastAsia="宋体" w:cs="Times New Roman"/>
          <w:color w:val="000000" w:themeColor="text1"/>
          <w:sz w:val="28"/>
          <w:szCs w:val="21"/>
          <w:lang w:val="en-US" w:eastAsia="zh-CN"/>
          <w14:textFill>
            <w14:solidFill>
              <w14:schemeClr w14:val="tx1"/>
            </w14:solidFill>
          </w14:textFill>
        </w:rPr>
        <w:t>该站总平面布置、周边环境等未发生变化</w:t>
      </w:r>
      <w:r>
        <w:rPr>
          <w:rFonts w:hint="eastAsia" w:ascii="宋体" w:hAnsi="宋体" w:eastAsia="宋体" w:cs="Times New Roman"/>
          <w:color w:val="000000" w:themeColor="text1"/>
          <w:sz w:val="28"/>
          <w:szCs w:val="21"/>
          <w14:textFill>
            <w14:solidFill>
              <w14:schemeClr w14:val="tx1"/>
            </w14:solidFill>
          </w14:textFill>
        </w:rPr>
        <w:t>。</w:t>
      </w:r>
    </w:p>
    <w:p>
      <w:pPr>
        <w:widowControl w:val="0"/>
        <w:adjustRightInd w:val="0"/>
        <w:snapToGrid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宋体" w:eastAsia="宋体" w:cs="Times New Roman"/>
          <w:color w:val="000000" w:themeColor="text1"/>
          <w:sz w:val="28"/>
          <w:szCs w:val="28"/>
          <w:lang w:val="en-US" w:eastAsia="zh-CN" w:bidi="ar-SA"/>
          <w14:textFill>
            <w14:solidFill>
              <w14:schemeClr w14:val="tx1"/>
            </w14:solidFill>
          </w14:textFill>
        </w:rPr>
        <w:t>该加油站主要建有站房、油罐区、加油区。加油区在站房北侧，</w:t>
      </w:r>
      <w:r>
        <w:rPr>
          <w:rFonts w:hint="eastAsia" w:ascii="宋体" w:hAnsi="宋体" w:eastAsia="宋体" w:cs="Times New Roman"/>
          <w:color w:val="000000" w:themeColor="text1"/>
          <w:kern w:val="2"/>
          <w:sz w:val="28"/>
          <w:szCs w:val="21"/>
          <w:lang w:val="en-US" w:eastAsia="zh-CN" w:bidi="ar-SA"/>
          <w14:textFill>
            <w14:solidFill>
              <w14:schemeClr w14:val="tx1"/>
            </w14:solidFill>
          </w14:textFill>
        </w:rPr>
        <w:t>现有2台双枪加油机、1台单枪加油机，均为自吸式</w:t>
      </w:r>
      <w:r>
        <w:rPr>
          <w:rFonts w:hint="eastAsia"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宋体" w:eastAsia="宋体" w:cs="Times New Roman"/>
          <w:color w:val="000000" w:themeColor="text1"/>
          <w:sz w:val="28"/>
          <w:szCs w:val="28"/>
          <w:lang w:val="en-US" w:eastAsia="zh-CN" w:bidi="ar-SA"/>
          <w14:textFill>
            <w14:solidFill>
              <w14:schemeClr w14:val="tx1"/>
            </w14:solidFill>
          </w14:textFill>
        </w:rPr>
        <w:t>油罐区在加油区北侧非行车道下，</w:t>
      </w:r>
      <w:r>
        <w:rPr>
          <w:rFonts w:hint="eastAsia" w:ascii="宋体" w:hAnsi="Times New Roman" w:eastAsia="宋体" w:cs="Times New Roman"/>
          <w:color w:val="000000" w:themeColor="text1"/>
          <w:sz w:val="28"/>
          <w:lang w:val="en-US" w:eastAsia="zh-CN" w:bidi="ar-SA"/>
          <w14:textFill>
            <w14:solidFill>
              <w14:schemeClr w14:val="tx1"/>
            </w14:solidFill>
          </w14:textFill>
        </w:rPr>
        <w:t>现有3台埋地双层储罐（</w:t>
      </w:r>
      <w:r>
        <w:rPr>
          <w:rFonts w:hint="eastAsia" w:ascii="宋体" w:hAnsi="宋体" w:eastAsia="宋体" w:cs="Times New Roman"/>
          <w:color w:val="000000" w:themeColor="text1"/>
          <w:sz w:val="28"/>
          <w:szCs w:val="28"/>
          <w:lang w:val="en-US" w:eastAsia="zh-CN" w:bidi="ar-SA"/>
          <w14:textFill>
            <w14:solidFill>
              <w14:schemeClr w14:val="tx1"/>
            </w14:solidFill>
          </w14:textFill>
        </w:rPr>
        <w:t>包括1</w:t>
      </w:r>
      <w:r>
        <w:rPr>
          <w:rFonts w:hint="eastAsia" w:ascii="宋体" w:hAnsi="Times New Roman" w:eastAsia="宋体" w:cs="Times New Roman"/>
          <w:color w:val="000000" w:themeColor="text1"/>
          <w:sz w:val="28"/>
          <w:lang w:val="en-US" w:eastAsia="zh-CN" w:bidi="ar-SA"/>
          <w14:textFill>
            <w14:solidFill>
              <w14:schemeClr w14:val="tx1"/>
            </w14:solidFill>
          </w14:textFill>
        </w:rPr>
        <w:t>台30m³92#乙醇汽油罐、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1</w:t>
      </w:r>
      <w:r>
        <w:rPr>
          <w:rFonts w:hint="eastAsia" w:ascii="宋体" w:hAnsi="Times New Roman" w:eastAsia="宋体" w:cs="Times New Roman"/>
          <w:color w:val="000000" w:themeColor="text1"/>
          <w:sz w:val="28"/>
          <w:lang w:val="en-US" w:eastAsia="zh-CN" w:bidi="ar-SA"/>
          <w14:textFill>
            <w14:solidFill>
              <w14:schemeClr w14:val="tx1"/>
            </w14:solidFill>
          </w14:textFill>
        </w:rPr>
        <w:t>台20m³95#汽油罐、1台20m³98#汽油罐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），3台油罐均安装了液位仪、检漏仪，</w:t>
      </w:r>
      <w:r>
        <w:rPr>
          <w:rFonts w:hint="eastAsia" w:ascii="宋体" w:hAnsi="Times New Roman" w:eastAsia="宋体" w:cs="Times New Roman"/>
          <w:color w:val="000000" w:themeColor="text1"/>
          <w:sz w:val="28"/>
          <w:lang w:val="en-US" w:eastAsia="zh-CN" w:bidi="ar-SA"/>
          <w14:textFill>
            <w14:solidFill>
              <w14:schemeClr w14:val="tx1"/>
            </w14:solidFill>
          </w14:textFill>
        </w:rPr>
        <w:t>其油罐埋地设置，通气管2根；该站汽油设有加油、卸油油气回收系统及油气处理装置（三次油气回收系统）；按《汽车加油加气加氢站技术标准》GB50156-2021标准规定：V=70m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，该站属三级加油站。</w:t>
      </w:r>
    </w:p>
    <w:p>
      <w:pPr>
        <w:widowControl w:val="0"/>
        <w:adjustRightInd w:val="0"/>
        <w:snapToGrid w:val="0"/>
        <w:spacing w:line="360" w:lineRule="auto"/>
        <w:jc w:val="center"/>
        <w:outlineLvl w:val="9"/>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pP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表</w:t>
      </w:r>
      <w:r>
        <w:rPr>
          <w:rFonts w:ascii="黑体" w:hAnsi="黑体" w:eastAsia="黑体" w:cs="Times New Roman"/>
          <w:color w:val="000000" w:themeColor="text1"/>
          <w:kern w:val="2"/>
          <w:sz w:val="24"/>
          <w:szCs w:val="28"/>
          <w:u w:color="000000"/>
          <w:lang w:val="en-US" w:eastAsia="zh-CN" w:bidi="ar-SA"/>
          <w14:textFill>
            <w14:solidFill>
              <w14:schemeClr w14:val="tx1"/>
            </w14:solidFill>
          </w14:textFill>
        </w:rPr>
        <w:t xml:space="preserve">2.1-1 </w:t>
      </w: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加油站的等级划分</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841"/>
        <w:gridCol w:w="28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等级</w:t>
            </w:r>
          </w:p>
        </w:tc>
        <w:tc>
          <w:tcPr>
            <w:tcW w:w="3338" w:type="pct"/>
            <w:gridSpan w:val="2"/>
            <w:vAlign w:val="center"/>
          </w:tcPr>
          <w:p>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加油站油罐容积（m</w:t>
            </w:r>
            <w:r>
              <w:rPr>
                <w:rFonts w:ascii="宋体" w:hAnsi="宋体" w:eastAsia="宋体" w:cs="Times New Roman"/>
                <w:b/>
                <w:bCs/>
                <w:color w:val="000000" w:themeColor="text1"/>
                <w:kern w:val="2"/>
                <w:sz w:val="21"/>
                <w:szCs w:val="21"/>
                <w:u w:color="000000"/>
                <w:vertAlign w:val="superscript"/>
                <w:lang w:val="en-US" w:eastAsia="zh-CN" w:bidi="ar-SA"/>
                <w14:textFill>
                  <w14:solidFill>
                    <w14:schemeClr w14:val="tx1"/>
                  </w14:solidFill>
                </w14:textFill>
              </w:rPr>
              <w:t>3</w:t>
            </w: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p>
        </w:tc>
        <w:tc>
          <w:tcPr>
            <w:tcW w:w="1667" w:type="pct"/>
            <w:vAlign w:val="center"/>
          </w:tcPr>
          <w:p>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总容积</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V</w:t>
            </w:r>
          </w:p>
        </w:tc>
        <w:tc>
          <w:tcPr>
            <w:tcW w:w="1671" w:type="pct"/>
            <w:vAlign w:val="center"/>
          </w:tcPr>
          <w:p>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一级</w:t>
            </w:r>
          </w:p>
        </w:tc>
        <w:tc>
          <w:tcPr>
            <w:tcW w:w="1667"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210</w:t>
            </w:r>
          </w:p>
        </w:tc>
        <w:tc>
          <w:tcPr>
            <w:tcW w:w="1671"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二级</w:t>
            </w:r>
          </w:p>
        </w:tc>
        <w:tc>
          <w:tcPr>
            <w:tcW w:w="1667"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w:t>
            </w:r>
          </w:p>
        </w:tc>
        <w:tc>
          <w:tcPr>
            <w:tcW w:w="1671"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三级</w:t>
            </w:r>
          </w:p>
        </w:tc>
        <w:tc>
          <w:tcPr>
            <w:tcW w:w="1667"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p>
        </w:tc>
        <w:tc>
          <w:tcPr>
            <w:tcW w:w="1671" w:type="pct"/>
            <w:vAlign w:val="center"/>
          </w:tcPr>
          <w:p>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汽油罐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30，柴油罐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bl>
    <w:p>
      <w:pPr>
        <w:widowControl w:val="0"/>
        <w:spacing w:line="360" w:lineRule="auto"/>
        <w:ind w:firstLine="436" w:firstLineChars="200"/>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pP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注：</w:t>
      </w:r>
      <w:r>
        <w:rPr>
          <w:rFonts w:hint="eastAsia"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V为油罐总容积。</w:t>
      </w: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柴油罐容积可折半计入油罐总容积。</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ascii="宋体" w:hAnsi="Times New Roman" w:eastAsia="宋体" w:cs="Times New Roman"/>
          <w:color w:val="000000" w:themeColor="text1"/>
          <w:sz w:val="28"/>
          <w:lang w:val="en-US" w:eastAsia="zh-CN" w:bidi="ar-SA"/>
          <w14:textFill>
            <w14:solidFill>
              <w14:schemeClr w14:val="tx1"/>
            </w14:solidFill>
          </w14:textFill>
        </w:rPr>
        <w:t>该站现有职工</w:t>
      </w:r>
      <w:r>
        <w:rPr>
          <w:rFonts w:hint="eastAsia" w:ascii="宋体" w:hAnsi="Times New Roman" w:eastAsia="宋体" w:cs="Times New Roman"/>
          <w:color w:val="000000" w:themeColor="text1"/>
          <w:sz w:val="28"/>
          <w:lang w:val="en-US" w:eastAsia="zh-CN" w:bidi="ar-SA"/>
          <w14:textFill>
            <w14:solidFill>
              <w14:schemeClr w14:val="tx1"/>
            </w14:solidFill>
          </w14:textFill>
        </w:rPr>
        <w:t>2人</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其中</w:t>
      </w:r>
      <w:r>
        <w:rPr>
          <w:rFonts w:ascii="宋体" w:hAnsi="Times New Roman" w:eastAsia="宋体" w:cs="Times New Roman"/>
          <w:color w:val="000000" w:themeColor="text1"/>
          <w:sz w:val="28"/>
          <w:lang w:val="en-US" w:eastAsia="zh-CN" w:bidi="ar-SA"/>
          <w14:textFill>
            <w14:solidFill>
              <w14:schemeClr w14:val="tx1"/>
            </w14:solidFill>
          </w14:textFill>
        </w:rPr>
        <w:t>主要负责人</w:t>
      </w:r>
      <w:r>
        <w:rPr>
          <w:rFonts w:hint="eastAsia" w:ascii="宋体" w:hAnsi="Times New Roman" w:eastAsia="宋体" w:cs="Times New Roman"/>
          <w:color w:val="000000" w:themeColor="text1"/>
          <w:sz w:val="28"/>
          <w:lang w:val="en-US" w:eastAsia="zh-CN" w:bidi="ar-SA"/>
          <w14:textFill>
            <w14:solidFill>
              <w14:schemeClr w14:val="tx1"/>
            </w14:solidFill>
          </w14:textFill>
        </w:rPr>
        <w:t>1</w:t>
      </w:r>
      <w:r>
        <w:rPr>
          <w:rFonts w:ascii="宋体" w:hAnsi="Times New Roman" w:eastAsia="宋体" w:cs="Times New Roman"/>
          <w:color w:val="000000" w:themeColor="text1"/>
          <w:sz w:val="28"/>
          <w:lang w:val="en-US" w:eastAsia="zh-CN" w:bidi="ar-SA"/>
          <w14:textFill>
            <w14:solidFill>
              <w14:schemeClr w14:val="tx1"/>
            </w14:solidFill>
          </w14:textFill>
        </w:rPr>
        <w:t>人，安全生产管理人员</w:t>
      </w:r>
      <w:r>
        <w:rPr>
          <w:rFonts w:hint="eastAsia" w:ascii="宋体" w:hAnsi="Times New Roman" w:eastAsia="宋体" w:cs="Times New Roman"/>
          <w:color w:val="000000" w:themeColor="text1"/>
          <w:sz w:val="28"/>
          <w:lang w:val="en-US" w:eastAsia="zh-CN" w:bidi="ar-SA"/>
          <w14:textFill>
            <w14:solidFill>
              <w14:schemeClr w14:val="tx1"/>
            </w14:solidFill>
          </w14:textFill>
        </w:rPr>
        <w:t>1人。主要负责人和安全生产管理人员已参加了危险化学品安全管理培训，并取得考核合格证，</w:t>
      </w:r>
      <w:r>
        <w:rPr>
          <w:rFonts w:ascii="宋体" w:hAnsi="Times New Roman" w:eastAsia="宋体" w:cs="Times New Roman"/>
          <w:color w:val="000000" w:themeColor="text1"/>
          <w:sz w:val="28"/>
          <w:lang w:val="en-US" w:eastAsia="zh-CN" w:bidi="ar-SA"/>
          <w14:textFill>
            <w14:solidFill>
              <w14:schemeClr w14:val="tx1"/>
            </w14:solidFill>
          </w14:textFill>
        </w:rPr>
        <w:t>详见附件。</w:t>
      </w:r>
    </w:p>
    <w:p>
      <w:pPr>
        <w:widowControl w:val="0"/>
        <w:spacing w:line="360" w:lineRule="auto"/>
        <w:ind w:firstLine="560" w:firstLineChars="200"/>
        <w:jc w:val="both"/>
        <w:rPr>
          <w:rFonts w:hint="eastAsia"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该站原名为东关回迁加油站，加油站于2012年04月10日取得了泰安市公安消防支队出具的《建设工程消防验收意见书》，编号：泰公消验【2012】第0019号，详见附件。</w:t>
      </w:r>
    </w:p>
    <w:p>
      <w:pPr>
        <w:widowControl w:val="0"/>
        <w:spacing w:line="360" w:lineRule="auto"/>
        <w:ind w:firstLine="560" w:firstLineChars="200"/>
        <w:jc w:val="both"/>
        <w:rPr>
          <w:rFonts w:hint="default" w:ascii="宋体" w:hAnsi="Times New Roman" w:eastAsia="宋体" w:cs="Times New Roman"/>
          <w:color w:val="auto"/>
          <w:sz w:val="28"/>
          <w:lang w:val="en-US" w:eastAsia="zh-CN" w:bidi="ar-SA"/>
        </w:rPr>
      </w:pPr>
      <w:r>
        <w:rPr>
          <w:rFonts w:hint="eastAsia" w:ascii="宋体" w:hAnsi="Times New Roman" w:eastAsia="宋体" w:cs="Times New Roman"/>
          <w:color w:val="auto"/>
          <w:sz w:val="28"/>
          <w:lang w:val="en-US" w:eastAsia="zh-CN" w:bidi="ar-SA"/>
        </w:rPr>
        <w:t>公司于2009年11月28日与山东云海集团有限公司签订了加油站租赁合同，合同有效期至2031年11月30日为止。详见附件。</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加油站于2021年6月10日换发了《危险化学品经营许可证》，证书编号：鲁泰危化经[2018]000094号，证书有效期2021年6月10日至2024年6月9日</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证书见附件。</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w:t>
      </w:r>
      <w:r>
        <w:rPr>
          <w:rFonts w:ascii="宋体" w:hAnsi="Times New Roman" w:eastAsia="宋体" w:cs="Times New Roman"/>
          <w:color w:val="000000" w:themeColor="text1"/>
          <w:sz w:val="28"/>
          <w:lang w:val="en-US" w:eastAsia="zh-CN" w:bidi="ar-SA"/>
          <w14:textFill>
            <w14:solidFill>
              <w14:schemeClr w14:val="tx1"/>
            </w14:solidFill>
          </w14:textFill>
        </w:rPr>
        <w:t>20</w:t>
      </w:r>
      <w:r>
        <w:rPr>
          <w:rFonts w:hint="eastAsia" w:ascii="宋体" w:hAnsi="Times New Roman" w:eastAsia="宋体" w:cs="Times New Roman"/>
          <w:color w:val="000000" w:themeColor="text1"/>
          <w:sz w:val="28"/>
          <w:lang w:val="en-US" w:eastAsia="zh-CN" w:bidi="ar-SA"/>
          <w14:textFill>
            <w14:solidFill>
              <w14:schemeClr w14:val="tx1"/>
            </w14:solidFill>
          </w14:textFill>
        </w:rPr>
        <w:t>21</w:t>
      </w:r>
      <w:r>
        <w:rPr>
          <w:rFonts w:ascii="宋体" w:hAnsi="Times New Roman" w:eastAsia="宋体" w:cs="Times New Roman"/>
          <w:color w:val="000000" w:themeColor="text1"/>
          <w:sz w:val="28"/>
          <w:lang w:val="en-US" w:eastAsia="zh-CN" w:bidi="ar-SA"/>
          <w14:textFill>
            <w14:solidFill>
              <w14:schemeClr w14:val="tx1"/>
            </w14:solidFill>
          </w14:textFill>
        </w:rPr>
        <w:t>年</w:t>
      </w:r>
      <w:r>
        <w:rPr>
          <w:rFonts w:hint="eastAsia" w:ascii="宋体" w:hAnsi="Times New Roman" w:eastAsia="宋体" w:cs="Times New Roman"/>
          <w:color w:val="000000" w:themeColor="text1"/>
          <w:sz w:val="28"/>
          <w:lang w:val="en-US" w:eastAsia="zh-CN" w:bidi="ar-SA"/>
          <w14:textFill>
            <w14:solidFill>
              <w14:schemeClr w14:val="tx1"/>
            </w14:solidFill>
          </w14:textFill>
        </w:rPr>
        <w:t>11</w:t>
      </w:r>
      <w:r>
        <w:rPr>
          <w:rFonts w:ascii="宋体" w:hAnsi="Times New Roman" w:eastAsia="宋体" w:cs="Times New Roman"/>
          <w:color w:val="000000" w:themeColor="text1"/>
          <w:sz w:val="28"/>
          <w:lang w:val="en-US" w:eastAsia="zh-CN" w:bidi="ar-SA"/>
          <w14:textFill>
            <w14:solidFill>
              <w14:schemeClr w14:val="tx1"/>
            </w14:solidFill>
          </w14:textFill>
        </w:rPr>
        <w:t>月</w:t>
      </w:r>
      <w:r>
        <w:rPr>
          <w:rFonts w:hint="eastAsia" w:ascii="宋体" w:hAnsi="Times New Roman" w:eastAsia="宋体" w:cs="Times New Roman"/>
          <w:color w:val="000000" w:themeColor="text1"/>
          <w:sz w:val="28"/>
          <w:lang w:val="en-US" w:eastAsia="zh-CN" w:bidi="ar-SA"/>
          <w14:textFill>
            <w14:solidFill>
              <w14:schemeClr w14:val="tx1"/>
            </w14:solidFill>
          </w14:textFill>
        </w:rPr>
        <w:t>08</w:t>
      </w:r>
      <w:r>
        <w:rPr>
          <w:rFonts w:ascii="宋体" w:hAnsi="Times New Roman" w:eastAsia="宋体" w:cs="Times New Roman"/>
          <w:color w:val="000000" w:themeColor="text1"/>
          <w:sz w:val="28"/>
          <w:lang w:val="en-US" w:eastAsia="zh-CN" w:bidi="ar-SA"/>
          <w14:textFill>
            <w14:solidFill>
              <w14:schemeClr w14:val="tx1"/>
            </w14:solidFill>
          </w14:textFill>
        </w:rPr>
        <w:t>日</w:t>
      </w:r>
      <w:r>
        <w:rPr>
          <w:rFonts w:hint="eastAsia" w:ascii="宋体" w:hAnsi="Times New Roman" w:eastAsia="宋体" w:cs="Times New Roman"/>
          <w:color w:val="000000" w:themeColor="text1"/>
          <w:sz w:val="28"/>
          <w:lang w:val="en-US" w:eastAsia="zh-CN" w:bidi="ar-SA"/>
          <w14:textFill>
            <w14:solidFill>
              <w14:schemeClr w14:val="tx1"/>
            </w14:solidFill>
          </w14:textFill>
        </w:rPr>
        <w:t>换发了</w:t>
      </w:r>
      <w:r>
        <w:rPr>
          <w:rFonts w:ascii="宋体" w:hAnsi="Times New Roman" w:eastAsia="宋体" w:cs="Times New Roman"/>
          <w:color w:val="000000" w:themeColor="text1"/>
          <w:sz w:val="28"/>
          <w:lang w:val="en-US" w:eastAsia="zh-CN" w:bidi="ar-SA"/>
          <w14:textFill>
            <w14:solidFill>
              <w14:schemeClr w14:val="tx1"/>
            </w14:solidFill>
          </w14:textFill>
        </w:rPr>
        <w:t>《成品油零售经营批准证书》，证书编号：</w:t>
      </w:r>
      <w:r>
        <w:rPr>
          <w:rFonts w:hint="eastAsia" w:ascii="宋体" w:hAnsi="Times New Roman" w:eastAsia="宋体" w:cs="Times New Roman"/>
          <w:color w:val="000000" w:themeColor="text1"/>
          <w:sz w:val="28"/>
          <w:lang w:val="en-US" w:eastAsia="zh-CN" w:bidi="ar-SA"/>
          <w14:textFill>
            <w14:solidFill>
              <w14:schemeClr w14:val="tx1"/>
            </w14:solidFill>
          </w14:textFill>
        </w:rPr>
        <w:t>鲁油零售证书第3709001039号，证书有效期至2026年11月08日。证书见附件</w:t>
      </w:r>
      <w:r>
        <w:rPr>
          <w:rFonts w:ascii="宋体" w:hAnsi="Times New Roman" w:eastAsia="宋体" w:cs="Times New Roman"/>
          <w:color w:val="000000" w:themeColor="text1"/>
          <w:sz w:val="28"/>
          <w:lang w:val="en-US" w:eastAsia="zh-CN" w:bidi="ar-SA"/>
          <w14:textFill>
            <w14:solidFill>
              <w14:schemeClr w14:val="tx1"/>
            </w14:solidFill>
          </w14:textFill>
        </w:rPr>
        <w:t>。</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bookmarkStart w:id="9" w:name="_Hlk508440011"/>
      <w:r>
        <w:rPr>
          <w:rFonts w:hint="eastAsia" w:ascii="宋体" w:hAnsi="Times New Roman" w:eastAsia="宋体" w:cs="Times New Roman"/>
          <w:color w:val="000000" w:themeColor="text1"/>
          <w:sz w:val="28"/>
          <w:lang w:val="en-US" w:eastAsia="zh-CN" w:bidi="ar-SA"/>
          <w14:textFill>
            <w14:solidFill>
              <w14:schemeClr w14:val="tx1"/>
            </w14:solidFill>
          </w14:textFill>
        </w:rPr>
        <w:t>该站编制了生产安全事故应急预案，于2023年2月6日在泰安市应急管理局进行了备案，备案编号为：370900-2023-0014。详见附件。</w:t>
      </w:r>
    </w:p>
    <w:bookmarkEnd w:id="9"/>
    <w:p>
      <w:pPr>
        <w:widowControl w:val="0"/>
        <w:spacing w:line="360" w:lineRule="auto"/>
        <w:ind w:firstLine="560" w:firstLineChars="200"/>
        <w:jc w:val="both"/>
        <w:rPr>
          <w:rFonts w:hint="eastAsia"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山东天科防雷工程有限公司对该站进行了相关防雷设施的检测，出具了合格的《雷电防护装置定期检测报告》，报告编号：天科雷检字[2023]TA-DY-A268号，防雷类别：二类，有效期2023年10月14日至2024年04月13日。检测报告见附件。</w:t>
      </w:r>
    </w:p>
    <w:p>
      <w:pPr>
        <w:widowControl w:val="0"/>
        <w:spacing w:line="360" w:lineRule="auto"/>
        <w:ind w:firstLine="560" w:firstLineChars="200"/>
        <w:jc w:val="both"/>
        <w:rPr>
          <w:rFonts w:hint="default"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该加油站于2023年06月21购买了安全生产责任保险，保单号为PZIT202337010000000074，保险期限为2023年06月23日至2024年06月22日。详见附件。</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该站建立健全了安全生产责任制、安全生产规章制度和安全操作规程，执行情况较好。</w:t>
      </w:r>
    </w:p>
    <w:p>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现有员工2人，按规定持证上岗。该加油站成立了以主要负责人为安全第一责任人的安全生产领导小组，同时成立了义务消防队。主要负责人和安全员经过安全培训，各项安全管理制度基本健全，有生产经营单位生产事故应急预案，并定期进行应急救援演练。该加油站消防器材配备齐全，加油站配备了35kg推车式干粉灭火器1具，5kg手提式干粉灭火器10具，CO</w:t>
      </w:r>
      <w:r>
        <w:rPr>
          <w:rFonts w:hint="eastAsia" w:ascii="宋体" w:hAnsi="Times New Roman" w:eastAsia="宋体" w:cs="Times New Roman"/>
          <w:color w:val="000000" w:themeColor="text1"/>
          <w:sz w:val="28"/>
          <w:vertAlign w:val="subscript"/>
          <w:lang w:val="en-US" w:eastAsia="zh-CN" w:bidi="ar-SA"/>
          <w14:textFill>
            <w14:solidFill>
              <w14:schemeClr w14:val="tx1"/>
            </w14:solidFill>
          </w14:textFill>
        </w:rPr>
        <w:t>2</w:t>
      </w:r>
      <w:r>
        <w:rPr>
          <w:rFonts w:hint="eastAsia" w:ascii="宋体" w:hAnsi="Times New Roman" w:eastAsia="宋体" w:cs="Times New Roman"/>
          <w:color w:val="000000" w:themeColor="text1"/>
          <w:sz w:val="28"/>
          <w:lang w:val="en-US" w:eastAsia="zh-CN" w:bidi="ar-SA"/>
          <w14:textFill>
            <w14:solidFill>
              <w14:schemeClr w14:val="tx1"/>
            </w14:solidFill>
          </w14:textFill>
        </w:rPr>
        <w:t>灭火器6具，灭火毯5块，消防锨2把，消防桶2个，消防沙池2m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w:t>
      </w:r>
    </w:p>
    <w:p>
      <w:pPr>
        <w:rPr>
          <w:rFonts w:hint="eastAsia" w:eastAsia="宋体"/>
          <w:lang w:eastAsia="zh-CN"/>
        </w:rPr>
      </w:pPr>
      <w:r>
        <w:rPr>
          <w:rFonts w:hint="eastAsia" w:eastAsia="宋体"/>
          <w:lang w:eastAsia="zh-CN"/>
        </w:rPr>
        <w:br w:type="page"/>
      </w:r>
    </w:p>
    <w:p>
      <w:pPr>
        <w:pStyle w:val="14"/>
        <w:widowControl w:val="0"/>
        <w:adjustRightInd w:val="0"/>
        <w:snapToGrid w:val="0"/>
        <w:spacing w:before="0" w:beforeLines="0" w:after="0" w:afterLines="0" w:line="360" w:lineRule="auto"/>
        <w:rPr>
          <w:color w:val="auto"/>
        </w:rPr>
      </w:pPr>
      <w:bookmarkStart w:id="10" w:name="_Toc102634406"/>
      <w:bookmarkStart w:id="11" w:name="_Toc102633906"/>
      <w:bookmarkStart w:id="12" w:name="_Toc102634255"/>
      <w:bookmarkStart w:id="13" w:name="_Toc102633980"/>
      <w:r>
        <w:rPr>
          <w:rFonts w:hint="eastAsia"/>
          <w:color w:val="auto"/>
          <w:lang w:val="en-US" w:eastAsia="zh-CN"/>
        </w:rPr>
        <w:t>二、</w:t>
      </w:r>
      <w:r>
        <w:rPr>
          <w:color w:val="auto"/>
        </w:rPr>
        <w:t xml:space="preserve"> 评价单元划分与评价方法选择</w:t>
      </w:r>
      <w:bookmarkEnd w:id="10"/>
      <w:bookmarkEnd w:id="11"/>
      <w:bookmarkEnd w:id="12"/>
      <w:bookmarkEnd w:id="13"/>
    </w:p>
    <w:p>
      <w:pPr>
        <w:snapToGrid w:val="0"/>
        <w:spacing w:line="360" w:lineRule="auto"/>
        <w:jc w:val="center"/>
        <w:outlineLvl w:val="1"/>
        <w:rPr>
          <w:rFonts w:ascii="Calibri" w:hAnsi="Calibri" w:eastAsia="楷体_GB2312"/>
          <w:b/>
          <w:color w:val="auto"/>
          <w:kern w:val="0"/>
          <w:sz w:val="32"/>
          <w:szCs w:val="20"/>
        </w:rPr>
      </w:pPr>
      <w:bookmarkStart w:id="14" w:name="_Toc7829"/>
      <w:bookmarkStart w:id="15" w:name="_Toc198026273"/>
      <w:bookmarkStart w:id="16" w:name="_Toc102634407"/>
      <w:bookmarkStart w:id="17" w:name="_Toc102633907"/>
      <w:bookmarkStart w:id="18" w:name="_Toc23543"/>
      <w:bookmarkStart w:id="19" w:name="_Toc238007574"/>
      <w:bookmarkStart w:id="20" w:name="_Toc192907201"/>
      <w:bookmarkStart w:id="21" w:name="_Toc102633981"/>
      <w:bookmarkStart w:id="22" w:name="_Toc272364536"/>
      <w:bookmarkStart w:id="23" w:name="_Toc102634256"/>
      <w:bookmarkStart w:id="24" w:name="_Toc15033754"/>
      <w:r>
        <w:rPr>
          <w:rFonts w:ascii="Calibri" w:hAnsi="Calibri" w:eastAsia="楷体_GB2312"/>
          <w:b/>
          <w:color w:val="auto"/>
          <w:kern w:val="0"/>
          <w:sz w:val="32"/>
          <w:szCs w:val="20"/>
        </w:rPr>
        <w:t>第一节 评价单元的划分</w:t>
      </w:r>
      <w:bookmarkEnd w:id="14"/>
      <w:bookmarkEnd w:id="15"/>
      <w:bookmarkEnd w:id="16"/>
      <w:bookmarkEnd w:id="17"/>
      <w:bookmarkEnd w:id="18"/>
      <w:bookmarkEnd w:id="19"/>
      <w:bookmarkEnd w:id="20"/>
      <w:bookmarkEnd w:id="21"/>
      <w:bookmarkEnd w:id="22"/>
      <w:bookmarkEnd w:id="23"/>
      <w:bookmarkEnd w:id="24"/>
    </w:p>
    <w:p>
      <w:pPr>
        <w:pStyle w:val="10"/>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pPr>
        <w:pStyle w:val="15"/>
        <w:widowControl w:val="0"/>
        <w:spacing w:line="360" w:lineRule="auto"/>
        <w:ind w:firstLine="560"/>
        <w:jc w:val="both"/>
        <w:rPr>
          <w:color w:val="auto"/>
        </w:rPr>
      </w:pPr>
      <w:bookmarkStart w:id="25" w:name="_Toc102634257"/>
      <w:r>
        <w:rPr>
          <w:rFonts w:hint="eastAsia"/>
          <w:color w:val="auto"/>
        </w:rPr>
        <w:t>一</w:t>
      </w:r>
      <w:r>
        <w:rPr>
          <w:color w:val="auto"/>
        </w:rPr>
        <w:t>、以危险有害因素的类别为主划分评价单元</w:t>
      </w:r>
      <w:bookmarkEnd w:id="25"/>
    </w:p>
    <w:p>
      <w:pPr>
        <w:pStyle w:val="10"/>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pPr>
        <w:pStyle w:val="10"/>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pPr>
        <w:pStyle w:val="15"/>
        <w:widowControl w:val="0"/>
        <w:spacing w:line="360" w:lineRule="auto"/>
        <w:ind w:firstLine="560"/>
        <w:jc w:val="both"/>
        <w:rPr>
          <w:color w:val="auto"/>
        </w:rPr>
      </w:pPr>
      <w:bookmarkStart w:id="26" w:name="_Toc102634258"/>
      <w:r>
        <w:rPr>
          <w:rFonts w:hint="eastAsia"/>
          <w:color w:val="auto"/>
        </w:rPr>
        <w:t>二</w:t>
      </w:r>
      <w:r>
        <w:rPr>
          <w:color w:val="auto"/>
        </w:rPr>
        <w:t>、以物质特征划分评价单元</w:t>
      </w:r>
      <w:bookmarkEnd w:id="26"/>
    </w:p>
    <w:p>
      <w:pPr>
        <w:pStyle w:val="10"/>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pPr>
        <w:pStyle w:val="10"/>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pPr>
        <w:pStyle w:val="10"/>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pPr>
        <w:pStyle w:val="10"/>
        <w:widowControl w:val="0"/>
        <w:spacing w:line="360" w:lineRule="auto"/>
        <w:ind w:firstLine="560"/>
        <w:rPr>
          <w:rFonts w:ascii="宋体"/>
          <w:color w:val="auto"/>
        </w:rPr>
      </w:pPr>
      <w:r>
        <w:rPr>
          <w:rFonts w:ascii="宋体"/>
          <w:color w:val="auto"/>
        </w:rPr>
        <w:t>1、安全管理；</w:t>
      </w:r>
    </w:p>
    <w:p>
      <w:pPr>
        <w:pStyle w:val="10"/>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pPr>
        <w:pStyle w:val="10"/>
        <w:widowControl w:val="0"/>
        <w:spacing w:line="360" w:lineRule="auto"/>
        <w:ind w:firstLine="560"/>
        <w:rPr>
          <w:rFonts w:ascii="宋体"/>
          <w:color w:val="auto"/>
        </w:rPr>
      </w:pPr>
      <w:r>
        <w:rPr>
          <w:rFonts w:ascii="宋体"/>
          <w:color w:val="auto"/>
        </w:rPr>
        <w:t>3、加油工艺及设施；</w:t>
      </w:r>
    </w:p>
    <w:p>
      <w:pPr>
        <w:pStyle w:val="10"/>
        <w:widowControl w:val="0"/>
        <w:spacing w:line="360" w:lineRule="auto"/>
        <w:ind w:firstLine="560"/>
        <w:rPr>
          <w:rFonts w:ascii="宋体"/>
          <w:color w:val="auto"/>
        </w:rPr>
      </w:pPr>
      <w:r>
        <w:rPr>
          <w:rFonts w:ascii="宋体"/>
          <w:color w:val="auto"/>
        </w:rPr>
        <w:t>4、其它安全设施等。</w:t>
      </w:r>
      <w:bookmarkStart w:id="27" w:name="_Toc188080068"/>
      <w:bookmarkStart w:id="28" w:name="_Toc15033755"/>
      <w:bookmarkStart w:id="29" w:name="_Toc272364537"/>
      <w:bookmarkStart w:id="30" w:name="_Toc198026274"/>
      <w:bookmarkStart w:id="31" w:name="_Toc19785"/>
      <w:bookmarkStart w:id="32" w:name="_Toc188079886"/>
      <w:bookmarkStart w:id="33" w:name="_Toc238007575"/>
      <w:bookmarkStart w:id="34" w:name="_Toc24232"/>
      <w:bookmarkStart w:id="35" w:name="_Toc192907202"/>
    </w:p>
    <w:p>
      <w:pPr>
        <w:snapToGrid w:val="0"/>
        <w:spacing w:before="120" w:after="120" w:line="560" w:lineRule="exact"/>
        <w:jc w:val="center"/>
        <w:outlineLvl w:val="1"/>
        <w:rPr>
          <w:rFonts w:ascii="Calibri" w:hAnsi="Calibri" w:eastAsia="楷体_GB2312"/>
          <w:b/>
          <w:color w:val="auto"/>
          <w:kern w:val="0"/>
          <w:sz w:val="32"/>
          <w:szCs w:val="20"/>
        </w:rPr>
      </w:pPr>
      <w:bookmarkStart w:id="36" w:name="_Toc102633982"/>
      <w:bookmarkStart w:id="37" w:name="_Toc102633908"/>
      <w:bookmarkStart w:id="38" w:name="_Toc102634408"/>
      <w:bookmarkStart w:id="39" w:name="_Toc102634259"/>
      <w:r>
        <w:rPr>
          <w:rFonts w:ascii="Calibri" w:hAnsi="Calibri" w:eastAsia="楷体_GB2312"/>
          <w:b/>
          <w:color w:val="auto"/>
          <w:kern w:val="0"/>
          <w:sz w:val="32"/>
          <w:szCs w:val="20"/>
        </w:rPr>
        <w:t>第二节 评价方法的选择</w:t>
      </w:r>
      <w:bookmarkEnd w:id="27"/>
      <w:bookmarkEnd w:id="28"/>
      <w:bookmarkEnd w:id="29"/>
      <w:bookmarkEnd w:id="30"/>
      <w:bookmarkEnd w:id="31"/>
      <w:bookmarkEnd w:id="32"/>
      <w:bookmarkEnd w:id="33"/>
      <w:bookmarkEnd w:id="34"/>
      <w:bookmarkEnd w:id="35"/>
      <w:bookmarkEnd w:id="36"/>
      <w:bookmarkEnd w:id="37"/>
      <w:bookmarkEnd w:id="38"/>
      <w:bookmarkEnd w:id="39"/>
    </w:p>
    <w:p>
      <w:pPr>
        <w:pStyle w:val="10"/>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pPr>
        <w:pStyle w:val="10"/>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pPr>
        <w:pStyle w:val="10"/>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中国石化山东泰山石油股份有限公司泰安第二十四加油站</w:t>
      </w:r>
      <w:r>
        <w:rPr>
          <w:rFonts w:ascii="宋体"/>
          <w:color w:val="auto"/>
        </w:rPr>
        <w:t>的具体情况，选用安全检查表、事故树法及危险度评价法对加油站进行评价。具体应用如下表所示：</w:t>
      </w:r>
    </w:p>
    <w:p>
      <w:pPr>
        <w:pStyle w:val="11"/>
        <w:widowControl w:val="0"/>
        <w:outlineLvl w:val="9"/>
        <w:rPr>
          <w:rFonts w:ascii="黑体" w:hAnsi="黑体"/>
          <w:color w:val="auto"/>
        </w:rPr>
      </w:pPr>
      <w:r>
        <w:rPr>
          <w:rFonts w:ascii="黑体" w:hAnsi="黑体"/>
          <w:color w:val="auto"/>
        </w:rPr>
        <w:t>表4.2-1 评价方法选择一览表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1"/>
        <w:gridCol w:w="2190"/>
        <w:gridCol w:w="2040"/>
        <w:gridCol w:w="1994"/>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pPr>
              <w:pStyle w:val="12"/>
              <w:widowControl w:val="0"/>
              <w:spacing w:line="360" w:lineRule="auto"/>
              <w:rPr>
                <w:rFonts w:ascii="宋体"/>
                <w:b/>
                <w:color w:val="auto"/>
                <w:lang w:val="en-GB"/>
              </w:rPr>
            </w:pPr>
            <w:r>
              <w:rPr>
                <w:rFonts w:ascii="宋体"/>
                <w:b/>
                <w:color w:val="auto"/>
                <w:lang w:val="en-GB"/>
              </w:rPr>
              <w:t>序号</w:t>
            </w:r>
          </w:p>
        </w:tc>
        <w:tc>
          <w:tcPr>
            <w:tcW w:w="1285" w:type="pct"/>
            <w:vMerge w:val="restart"/>
            <w:vAlign w:val="center"/>
          </w:tcPr>
          <w:p>
            <w:pPr>
              <w:pStyle w:val="12"/>
              <w:widowControl w:val="0"/>
              <w:spacing w:line="360" w:lineRule="auto"/>
              <w:rPr>
                <w:rFonts w:ascii="宋体"/>
                <w:b/>
                <w:color w:val="auto"/>
              </w:rPr>
            </w:pPr>
            <w:r>
              <w:rPr>
                <w:rFonts w:ascii="宋体"/>
                <w:b/>
                <w:bCs/>
                <w:color w:val="auto"/>
                <w:lang w:val="en-GB"/>
              </w:rPr>
              <w:t>评价单元</w:t>
            </w:r>
          </w:p>
        </w:tc>
        <w:tc>
          <w:tcPr>
            <w:tcW w:w="3339" w:type="pct"/>
            <w:gridSpan w:val="3"/>
            <w:vAlign w:val="center"/>
          </w:tcPr>
          <w:p>
            <w:pPr>
              <w:pStyle w:val="12"/>
              <w:widowControl w:val="0"/>
              <w:spacing w:line="360" w:lineRule="auto"/>
              <w:rPr>
                <w:rFonts w:ascii="宋体"/>
                <w:b/>
                <w:color w:val="auto"/>
              </w:rPr>
            </w:pPr>
            <w:r>
              <w:rPr>
                <w:rFonts w:ascii="宋体"/>
                <w:b/>
                <w:color w:val="auto"/>
                <w:lang w:val="en-GB"/>
              </w:rPr>
              <w:t>评价方法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pPr>
              <w:pStyle w:val="12"/>
              <w:widowControl w:val="0"/>
              <w:spacing w:line="360" w:lineRule="auto"/>
              <w:rPr>
                <w:rFonts w:ascii="宋体"/>
                <w:b/>
                <w:color w:val="auto"/>
                <w:lang w:val="en-GB"/>
              </w:rPr>
            </w:pPr>
          </w:p>
        </w:tc>
        <w:tc>
          <w:tcPr>
            <w:tcW w:w="1285" w:type="pct"/>
            <w:vMerge w:val="continue"/>
            <w:vAlign w:val="center"/>
          </w:tcPr>
          <w:p>
            <w:pPr>
              <w:pStyle w:val="12"/>
              <w:widowControl w:val="0"/>
              <w:spacing w:line="360" w:lineRule="auto"/>
              <w:rPr>
                <w:rFonts w:ascii="宋体"/>
                <w:b/>
                <w:color w:val="auto"/>
              </w:rPr>
            </w:pPr>
          </w:p>
        </w:tc>
        <w:tc>
          <w:tcPr>
            <w:tcW w:w="1197" w:type="pct"/>
            <w:vAlign w:val="center"/>
          </w:tcPr>
          <w:p>
            <w:pPr>
              <w:pStyle w:val="12"/>
              <w:widowControl w:val="0"/>
              <w:spacing w:line="360" w:lineRule="auto"/>
              <w:rPr>
                <w:rFonts w:ascii="宋体"/>
                <w:b/>
                <w:color w:val="auto"/>
                <w:lang w:val="en-GB"/>
              </w:rPr>
            </w:pPr>
            <w:r>
              <w:rPr>
                <w:rFonts w:ascii="宋体"/>
                <w:b/>
                <w:color w:val="auto"/>
                <w:lang w:val="en-GB"/>
              </w:rPr>
              <w:t>安全检查表</w:t>
            </w:r>
          </w:p>
        </w:tc>
        <w:tc>
          <w:tcPr>
            <w:tcW w:w="1170" w:type="pct"/>
            <w:vAlign w:val="center"/>
          </w:tcPr>
          <w:p>
            <w:pPr>
              <w:pStyle w:val="12"/>
              <w:widowControl w:val="0"/>
              <w:spacing w:line="360" w:lineRule="auto"/>
              <w:rPr>
                <w:rFonts w:ascii="宋体"/>
                <w:b/>
                <w:color w:val="auto"/>
                <w:lang w:val="en-GB"/>
              </w:rPr>
            </w:pPr>
            <w:r>
              <w:rPr>
                <w:rFonts w:ascii="宋体"/>
                <w:b/>
                <w:color w:val="auto"/>
                <w:lang w:val="en-GB"/>
              </w:rPr>
              <w:t>危险度评价法</w:t>
            </w:r>
          </w:p>
        </w:tc>
        <w:tc>
          <w:tcPr>
            <w:tcW w:w="972" w:type="pct"/>
            <w:vAlign w:val="center"/>
          </w:tcPr>
          <w:p>
            <w:pPr>
              <w:pStyle w:val="12"/>
              <w:widowControl w:val="0"/>
              <w:spacing w:line="360" w:lineRule="auto"/>
              <w:rPr>
                <w:rFonts w:ascii="宋体"/>
                <w:b/>
                <w:color w:val="auto"/>
                <w:lang w:val="en-GB"/>
              </w:rPr>
            </w:pPr>
            <w:r>
              <w:rPr>
                <w:rFonts w:ascii="宋体"/>
                <w:b/>
                <w:color w:val="auto"/>
                <w:lang w:val="en-GB"/>
              </w:rPr>
              <w:t>事故树法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2"/>
              <w:widowControl w:val="0"/>
              <w:spacing w:line="360" w:lineRule="auto"/>
              <w:rPr>
                <w:rFonts w:ascii="宋体"/>
                <w:color w:val="auto"/>
                <w:lang w:val="en-GB"/>
              </w:rPr>
            </w:pPr>
            <w:r>
              <w:rPr>
                <w:rFonts w:ascii="宋体"/>
                <w:color w:val="auto"/>
                <w:lang w:val="en-GB"/>
              </w:rPr>
              <w:t>1</w:t>
            </w:r>
          </w:p>
        </w:tc>
        <w:tc>
          <w:tcPr>
            <w:tcW w:w="1285" w:type="pct"/>
            <w:vAlign w:val="center"/>
          </w:tcPr>
          <w:p>
            <w:pPr>
              <w:pStyle w:val="12"/>
              <w:widowControl w:val="0"/>
              <w:spacing w:line="360" w:lineRule="auto"/>
              <w:rPr>
                <w:rFonts w:ascii="宋体"/>
                <w:color w:val="auto"/>
                <w:lang w:val="en-GB"/>
              </w:rPr>
            </w:pPr>
            <w:r>
              <w:rPr>
                <w:rFonts w:ascii="宋体"/>
                <w:color w:val="auto"/>
                <w:lang w:val="en-GB"/>
              </w:rPr>
              <w:t>安全管理单元</w:t>
            </w:r>
          </w:p>
        </w:tc>
        <w:tc>
          <w:tcPr>
            <w:tcW w:w="1197" w:type="pct"/>
            <w:vAlign w:val="center"/>
          </w:tcPr>
          <w:p>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pPr>
              <w:pStyle w:val="12"/>
              <w:widowControl w:val="0"/>
              <w:spacing w:line="360" w:lineRule="auto"/>
              <w:rPr>
                <w:rFonts w:ascii="宋体"/>
                <w:color w:val="auto"/>
              </w:rPr>
            </w:pPr>
          </w:p>
        </w:tc>
        <w:tc>
          <w:tcPr>
            <w:tcW w:w="972" w:type="pct"/>
            <w:vAlign w:val="center"/>
          </w:tcPr>
          <w:p>
            <w:pPr>
              <w:pStyle w:val="12"/>
              <w:widowControl w:val="0"/>
              <w:spacing w:line="360" w:lineRule="auto"/>
              <w:rPr>
                <w:rFonts w:asci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2"/>
              <w:widowControl w:val="0"/>
              <w:spacing w:line="360" w:lineRule="auto"/>
              <w:rPr>
                <w:rFonts w:ascii="宋体"/>
                <w:color w:val="auto"/>
                <w:lang w:val="en-GB"/>
              </w:rPr>
            </w:pPr>
            <w:r>
              <w:rPr>
                <w:rFonts w:ascii="宋体"/>
                <w:color w:val="auto"/>
                <w:lang w:val="en-GB"/>
              </w:rPr>
              <w:t>2</w:t>
            </w:r>
          </w:p>
        </w:tc>
        <w:tc>
          <w:tcPr>
            <w:tcW w:w="1285" w:type="pct"/>
            <w:vAlign w:val="center"/>
          </w:tcPr>
          <w:p>
            <w:pPr>
              <w:pStyle w:val="12"/>
              <w:widowControl w:val="0"/>
              <w:spacing w:line="360" w:lineRule="auto"/>
              <w:rPr>
                <w:rFonts w:ascii="宋体"/>
                <w:color w:val="auto"/>
                <w:lang w:val="en-GB"/>
              </w:rPr>
            </w:pPr>
            <w:r>
              <w:rPr>
                <w:rFonts w:ascii="宋体"/>
                <w:color w:val="auto"/>
                <w:lang w:val="en-GB"/>
              </w:rPr>
              <w:t>站址选择及总平面布置</w:t>
            </w:r>
          </w:p>
        </w:tc>
        <w:tc>
          <w:tcPr>
            <w:tcW w:w="1197" w:type="pct"/>
            <w:vAlign w:val="center"/>
          </w:tcPr>
          <w:p>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pPr>
              <w:pStyle w:val="12"/>
              <w:widowControl w:val="0"/>
              <w:spacing w:line="360" w:lineRule="auto"/>
              <w:rPr>
                <w:rFonts w:ascii="宋体"/>
                <w:color w:val="auto"/>
              </w:rPr>
            </w:pPr>
          </w:p>
        </w:tc>
        <w:tc>
          <w:tcPr>
            <w:tcW w:w="972" w:type="pct"/>
            <w:vAlign w:val="center"/>
          </w:tcPr>
          <w:p>
            <w:pPr>
              <w:pStyle w:val="12"/>
              <w:widowControl w:val="0"/>
              <w:spacing w:line="360" w:lineRule="auto"/>
              <w:rPr>
                <w:rFonts w:asci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2"/>
              <w:widowControl w:val="0"/>
              <w:spacing w:line="360" w:lineRule="auto"/>
              <w:rPr>
                <w:rFonts w:ascii="宋体"/>
                <w:color w:val="auto"/>
                <w:lang w:val="en-GB"/>
              </w:rPr>
            </w:pPr>
            <w:r>
              <w:rPr>
                <w:rFonts w:ascii="宋体"/>
                <w:color w:val="auto"/>
                <w:lang w:val="en-GB"/>
              </w:rPr>
              <w:t>3</w:t>
            </w:r>
          </w:p>
        </w:tc>
        <w:tc>
          <w:tcPr>
            <w:tcW w:w="1285" w:type="pct"/>
            <w:vAlign w:val="center"/>
          </w:tcPr>
          <w:p>
            <w:pPr>
              <w:pStyle w:val="12"/>
              <w:widowControl w:val="0"/>
              <w:spacing w:line="360" w:lineRule="auto"/>
              <w:rPr>
                <w:rFonts w:ascii="宋体"/>
                <w:color w:val="auto"/>
                <w:lang w:val="en-GB"/>
              </w:rPr>
            </w:pPr>
            <w:r>
              <w:rPr>
                <w:rFonts w:ascii="宋体"/>
                <w:color w:val="auto"/>
                <w:lang w:val="en-GB"/>
              </w:rPr>
              <w:t>加油工艺及设施</w:t>
            </w:r>
          </w:p>
        </w:tc>
        <w:tc>
          <w:tcPr>
            <w:tcW w:w="1197" w:type="pct"/>
            <w:vAlign w:val="center"/>
          </w:tcPr>
          <w:p>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pPr>
              <w:pStyle w:val="12"/>
              <w:widowControl w:val="0"/>
              <w:spacing w:line="360" w:lineRule="auto"/>
              <w:rPr>
                <w:rFonts w:ascii="宋体"/>
                <w:color w:val="auto"/>
              </w:rPr>
            </w:pPr>
            <w:r>
              <w:rPr>
                <w:rFonts w:hint="eastAsia" w:ascii="宋体" w:hAnsi="宋体" w:cs="宋体"/>
                <w:color w:val="auto"/>
              </w:rPr>
              <w:t>★</w:t>
            </w:r>
          </w:p>
        </w:tc>
        <w:tc>
          <w:tcPr>
            <w:tcW w:w="972" w:type="pct"/>
            <w:vAlign w:val="center"/>
          </w:tcPr>
          <w:p>
            <w:pPr>
              <w:pStyle w:val="12"/>
              <w:widowControl w:val="0"/>
              <w:spacing w:line="360" w:lineRule="auto"/>
              <w:rPr>
                <w:rFonts w:ascii="宋体"/>
                <w:color w:val="auto"/>
              </w:rPr>
            </w:pPr>
            <w:r>
              <w:rPr>
                <w:rFonts w:hint="eastAsia" w:ascii="宋体" w:hAnsi="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2"/>
              <w:widowControl w:val="0"/>
              <w:spacing w:line="360" w:lineRule="auto"/>
              <w:rPr>
                <w:rFonts w:ascii="宋体"/>
                <w:color w:val="auto"/>
                <w:lang w:val="en-GB"/>
              </w:rPr>
            </w:pPr>
            <w:r>
              <w:rPr>
                <w:rFonts w:ascii="宋体"/>
                <w:color w:val="auto"/>
                <w:lang w:val="en-GB"/>
              </w:rPr>
              <w:t>4</w:t>
            </w:r>
          </w:p>
        </w:tc>
        <w:tc>
          <w:tcPr>
            <w:tcW w:w="1285" w:type="pct"/>
            <w:vAlign w:val="center"/>
          </w:tcPr>
          <w:p>
            <w:pPr>
              <w:pStyle w:val="12"/>
              <w:widowControl w:val="0"/>
              <w:spacing w:line="360" w:lineRule="auto"/>
              <w:rPr>
                <w:rFonts w:ascii="宋体"/>
                <w:color w:val="auto"/>
                <w:lang w:val="en-GB"/>
              </w:rPr>
            </w:pPr>
            <w:r>
              <w:rPr>
                <w:rFonts w:ascii="宋体"/>
                <w:color w:val="auto"/>
                <w:lang w:val="en-GB"/>
              </w:rPr>
              <w:t>其它安全设施</w:t>
            </w:r>
          </w:p>
        </w:tc>
        <w:tc>
          <w:tcPr>
            <w:tcW w:w="1197" w:type="pct"/>
            <w:vAlign w:val="center"/>
          </w:tcPr>
          <w:p>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pPr>
              <w:pStyle w:val="12"/>
              <w:widowControl w:val="0"/>
              <w:spacing w:line="360" w:lineRule="auto"/>
              <w:rPr>
                <w:rFonts w:ascii="宋体"/>
                <w:color w:val="auto"/>
              </w:rPr>
            </w:pPr>
          </w:p>
        </w:tc>
        <w:tc>
          <w:tcPr>
            <w:tcW w:w="972" w:type="pct"/>
            <w:vAlign w:val="center"/>
          </w:tcPr>
          <w:p>
            <w:pPr>
              <w:pStyle w:val="12"/>
              <w:widowControl w:val="0"/>
              <w:spacing w:line="360" w:lineRule="auto"/>
              <w:rPr>
                <w:rFonts w:ascii="宋体"/>
                <w:color w:val="auto"/>
              </w:rPr>
            </w:pPr>
          </w:p>
        </w:tc>
      </w:tr>
    </w:tbl>
    <w:p>
      <w:pPr>
        <w:pStyle w:val="10"/>
        <w:widowControl w:val="0"/>
        <w:spacing w:line="360" w:lineRule="auto"/>
        <w:ind w:firstLine="420"/>
        <w:rPr>
          <w:rFonts w:ascii="黑体" w:hAnsi="黑体" w:eastAsia="黑体"/>
          <w:color w:val="auto"/>
          <w:sz w:val="21"/>
          <w:szCs w:val="21"/>
          <w:u w:color="000000"/>
        </w:rPr>
      </w:pPr>
      <w:r>
        <w:rPr>
          <w:rFonts w:ascii="黑体" w:hAnsi="黑体" w:eastAsia="黑体"/>
          <w:color w:val="auto"/>
          <w:sz w:val="21"/>
          <w:szCs w:val="21"/>
          <w:u w:color="000000"/>
        </w:rPr>
        <w:t>注：表中“★”表示采用的评价方法。</w:t>
      </w:r>
    </w:p>
    <w:p>
      <w:pPr>
        <w:rPr>
          <w:rFonts w:ascii="黑体" w:hAnsi="黑体" w:eastAsia="黑体"/>
          <w:color w:val="auto"/>
          <w:sz w:val="21"/>
          <w:szCs w:val="21"/>
          <w:u w:color="000000"/>
        </w:rPr>
      </w:pPr>
      <w:r>
        <w:rPr>
          <w:rFonts w:ascii="黑体" w:hAnsi="黑体" w:eastAsia="黑体"/>
          <w:color w:val="auto"/>
          <w:sz w:val="21"/>
          <w:szCs w:val="21"/>
          <w:u w:color="000000"/>
        </w:rPr>
        <w:br w:type="page"/>
      </w:r>
    </w:p>
    <w:p>
      <w:pPr>
        <w:snapToGrid w:val="0"/>
        <w:spacing w:before="120" w:after="120" w:line="560" w:lineRule="exact"/>
        <w:jc w:val="center"/>
        <w:outlineLvl w:val="1"/>
        <w:rPr>
          <w:rFonts w:ascii="Calibri" w:hAnsi="Calibri" w:eastAsia="楷体_GB2312"/>
          <w:b/>
          <w:color w:val="auto"/>
          <w:kern w:val="0"/>
          <w:sz w:val="32"/>
          <w:szCs w:val="20"/>
        </w:rPr>
      </w:pPr>
      <w:bookmarkStart w:id="40" w:name="_Toc102633990"/>
      <w:bookmarkStart w:id="41" w:name="_Toc102634278"/>
      <w:bookmarkStart w:id="42" w:name="_Toc102634416"/>
      <w:bookmarkStart w:id="43" w:name="_Toc102633916"/>
      <w:r>
        <w:rPr>
          <w:rFonts w:hint="eastAsia" w:ascii="Calibri" w:hAnsi="Calibri" w:eastAsia="楷体_GB2312"/>
          <w:b/>
          <w:color w:val="auto"/>
          <w:kern w:val="0"/>
          <w:sz w:val="32"/>
          <w:szCs w:val="20"/>
          <w:lang w:val="en-US" w:eastAsia="zh-CN"/>
        </w:rPr>
        <w:t>三、</w:t>
      </w:r>
      <w:r>
        <w:rPr>
          <w:rFonts w:ascii="Calibri" w:hAnsi="Calibri" w:eastAsia="楷体_GB2312"/>
          <w:b/>
          <w:color w:val="auto"/>
          <w:kern w:val="0"/>
          <w:sz w:val="32"/>
          <w:szCs w:val="20"/>
        </w:rPr>
        <w:t xml:space="preserve"> 整改复查情况</w:t>
      </w:r>
      <w:r>
        <w:rPr>
          <w:rFonts w:hint="eastAsia" w:ascii="Calibri" w:hAnsi="Calibri" w:eastAsia="楷体_GB2312"/>
          <w:b/>
          <w:color w:val="auto"/>
          <w:kern w:val="0"/>
          <w:sz w:val="32"/>
          <w:szCs w:val="20"/>
        </w:rPr>
        <w:t>表</w:t>
      </w:r>
      <w:bookmarkEnd w:id="40"/>
      <w:bookmarkEnd w:id="41"/>
      <w:bookmarkEnd w:id="42"/>
      <w:bookmarkEnd w:id="43"/>
    </w:p>
    <w:p>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3"/>
        <w:gridCol w:w="3133"/>
        <w:gridCol w:w="3414"/>
        <w:gridCol w:w="1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2" w:type="pct"/>
            <w:vAlign w:val="center"/>
          </w:tcPr>
          <w:p>
            <w:pPr>
              <w:pStyle w:val="12"/>
              <w:widowControl w:val="0"/>
              <w:spacing w:line="360" w:lineRule="auto"/>
              <w:rPr>
                <w:rFonts w:ascii="宋体" w:hAnsi="宋体"/>
                <w:b/>
                <w:bCs/>
                <w:color w:val="auto"/>
              </w:rPr>
            </w:pPr>
            <w:r>
              <w:rPr>
                <w:rFonts w:ascii="宋体" w:hAnsi="宋体"/>
                <w:b/>
                <w:bCs/>
                <w:color w:val="auto"/>
              </w:rPr>
              <w:t>序号</w:t>
            </w:r>
          </w:p>
        </w:tc>
        <w:tc>
          <w:tcPr>
            <w:tcW w:w="1838" w:type="pct"/>
            <w:vAlign w:val="center"/>
          </w:tcPr>
          <w:p>
            <w:pPr>
              <w:pStyle w:val="12"/>
              <w:widowControl w:val="0"/>
              <w:spacing w:line="360" w:lineRule="auto"/>
              <w:rPr>
                <w:rFonts w:ascii="宋体" w:hAnsi="宋体"/>
                <w:b/>
                <w:bCs/>
                <w:color w:val="auto"/>
              </w:rPr>
            </w:pPr>
            <w:r>
              <w:rPr>
                <w:rFonts w:ascii="宋体" w:hAnsi="宋体"/>
                <w:b/>
                <w:bCs/>
                <w:color w:val="auto"/>
              </w:rPr>
              <w:t>存在问题</w:t>
            </w:r>
          </w:p>
        </w:tc>
        <w:tc>
          <w:tcPr>
            <w:tcW w:w="2003" w:type="pct"/>
            <w:vAlign w:val="center"/>
          </w:tcPr>
          <w:p>
            <w:pPr>
              <w:pStyle w:val="12"/>
              <w:widowControl w:val="0"/>
              <w:spacing w:line="360" w:lineRule="auto"/>
              <w:rPr>
                <w:rFonts w:ascii="宋体" w:hAnsi="宋体"/>
                <w:b/>
                <w:bCs/>
                <w:color w:val="auto"/>
              </w:rPr>
            </w:pPr>
            <w:r>
              <w:rPr>
                <w:rFonts w:ascii="宋体" w:hAnsi="宋体"/>
                <w:b/>
                <w:bCs/>
                <w:color w:val="auto"/>
              </w:rPr>
              <w:t>整改措施</w:t>
            </w:r>
          </w:p>
        </w:tc>
        <w:tc>
          <w:tcPr>
            <w:tcW w:w="816" w:type="pct"/>
            <w:vAlign w:val="center"/>
          </w:tcPr>
          <w:p>
            <w:pPr>
              <w:pStyle w:val="12"/>
              <w:widowControl w:val="0"/>
              <w:spacing w:line="360" w:lineRule="auto"/>
              <w:rPr>
                <w:rFonts w:ascii="宋体" w:hAnsi="宋体"/>
                <w:b/>
                <w:bCs/>
                <w:color w:val="auto"/>
              </w:rPr>
            </w:pPr>
            <w:r>
              <w:rPr>
                <w:rFonts w:ascii="宋体" w:hAnsi="宋体"/>
                <w:b/>
                <w:bCs/>
                <w:color w:val="auto"/>
              </w:rPr>
              <w:t>复查情况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2" w:type="pct"/>
            <w:vAlign w:val="center"/>
          </w:tcPr>
          <w:p>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szCs w:val="21"/>
                <w:u w:color="000000"/>
              </w:rPr>
            </w:pPr>
          </w:p>
        </w:tc>
        <w:tc>
          <w:tcPr>
            <w:tcW w:w="1838" w:type="pct"/>
            <w:vAlign w:val="center"/>
          </w:tcPr>
          <w:p>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kern w:val="0"/>
                <w:szCs w:val="21"/>
                <w:u w:color="000000"/>
                <w:lang w:val="en-US" w:eastAsia="zh-CN"/>
              </w:rPr>
            </w:pPr>
            <w:r>
              <w:rPr>
                <w:rFonts w:hint="eastAsia" w:ascii="宋体" w:hAnsi="宋体" w:cs="宋体"/>
                <w:color w:val="auto"/>
                <w:kern w:val="0"/>
                <w:szCs w:val="21"/>
                <w:u w:color="000000"/>
                <w:lang w:val="en-US" w:eastAsia="zh-CN"/>
              </w:rPr>
              <w:t>无</w:t>
            </w:r>
          </w:p>
        </w:tc>
        <w:tc>
          <w:tcPr>
            <w:tcW w:w="2003" w:type="pct"/>
            <w:vAlign w:val="center"/>
          </w:tcPr>
          <w:p>
            <w:pPr>
              <w:widowControl/>
              <w:tabs>
                <w:tab w:val="left" w:pos="6120"/>
              </w:tabs>
              <w:adjustRightInd w:val="0"/>
              <w:spacing w:before="31" w:beforeLines="10" w:after="31" w:afterLines="10" w:line="320" w:lineRule="exact"/>
              <w:jc w:val="center"/>
              <w:textAlignment w:val="baseline"/>
              <w:rPr>
                <w:rFonts w:ascii="宋体" w:hAnsi="宋体" w:cs="宋体"/>
                <w:bCs/>
                <w:color w:val="auto"/>
                <w:szCs w:val="21"/>
              </w:rPr>
            </w:pPr>
          </w:p>
        </w:tc>
        <w:tc>
          <w:tcPr>
            <w:tcW w:w="816" w:type="pct"/>
            <w:vAlign w:val="center"/>
          </w:tcPr>
          <w:p>
            <w:pPr>
              <w:spacing w:line="360" w:lineRule="auto"/>
              <w:jc w:val="center"/>
              <w:rPr>
                <w:rFonts w:ascii="宋体" w:hAnsi="宋体" w:cs="宋体"/>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pPr>
              <w:pStyle w:val="10"/>
              <w:widowControl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pPr>
              <w:pStyle w:val="16"/>
              <w:spacing w:line="360" w:lineRule="auto"/>
              <w:rPr>
                <w:rFonts w:ascii="宋体" w:hAnsi="宋体" w:cs="宋体"/>
                <w:color w:val="auto"/>
              </w:rPr>
            </w:pPr>
          </w:p>
          <w:p>
            <w:pPr>
              <w:pStyle w:val="10"/>
              <w:widowControl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pPr>
              <w:pStyle w:val="16"/>
              <w:spacing w:line="360" w:lineRule="auto"/>
              <w:rPr>
                <w:rFonts w:ascii="宋体" w:hAnsi="宋体" w:cs="宋体"/>
                <w:color w:val="auto"/>
              </w:rPr>
            </w:pPr>
          </w:p>
          <w:p>
            <w:pPr>
              <w:pStyle w:val="16"/>
              <w:spacing w:line="360" w:lineRule="auto"/>
              <w:rPr>
                <w:rFonts w:ascii="宋体" w:hAnsi="宋体" w:cs="宋体"/>
                <w:color w:val="auto"/>
              </w:rPr>
            </w:pPr>
          </w:p>
          <w:p>
            <w:pPr>
              <w:pStyle w:val="16"/>
              <w:spacing w:line="360" w:lineRule="auto"/>
              <w:rPr>
                <w:rFonts w:ascii="宋体" w:hAnsi="宋体" w:cs="宋体"/>
                <w:color w:val="auto"/>
              </w:rPr>
            </w:pPr>
          </w:p>
          <w:p>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15" w:hRule="atLeast"/>
          <w:jc w:val="center"/>
        </w:trPr>
        <w:tc>
          <w:tcPr>
            <w:tcW w:w="5000" w:type="pct"/>
            <w:gridSpan w:val="4"/>
          </w:tcPr>
          <w:p>
            <w:pPr>
              <w:pStyle w:val="16"/>
              <w:spacing w:line="360" w:lineRule="auto"/>
              <w:rPr>
                <w:rFonts w:ascii="宋体" w:hAnsi="宋体"/>
                <w:color w:val="auto"/>
              </w:rPr>
            </w:pPr>
          </w:p>
          <w:p>
            <w:pPr>
              <w:pStyle w:val="10"/>
              <w:widowControl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pPr>
              <w:pStyle w:val="10"/>
              <w:widowControl w:val="0"/>
              <w:spacing w:line="360" w:lineRule="auto"/>
              <w:ind w:firstLine="0" w:firstLineChars="0"/>
              <w:jc w:val="center"/>
              <w:rPr>
                <w:rFonts w:ascii="宋体" w:hAnsi="宋体"/>
                <w:color w:val="auto"/>
                <w:kern w:val="2"/>
                <w:sz w:val="21"/>
                <w:szCs w:val="21"/>
              </w:rPr>
            </w:pPr>
          </w:p>
          <w:p>
            <w:pPr>
              <w:pStyle w:val="10"/>
              <w:widowControl w:val="0"/>
              <w:spacing w:line="360" w:lineRule="auto"/>
              <w:ind w:firstLine="0" w:firstLineChars="0"/>
              <w:jc w:val="center"/>
              <w:rPr>
                <w:rFonts w:ascii="宋体" w:hAnsi="宋体"/>
                <w:color w:val="auto"/>
                <w:kern w:val="2"/>
                <w:sz w:val="21"/>
                <w:szCs w:val="21"/>
              </w:rPr>
            </w:pPr>
          </w:p>
          <w:p>
            <w:pPr>
              <w:pStyle w:val="10"/>
              <w:widowControl w:val="0"/>
              <w:spacing w:line="360" w:lineRule="auto"/>
              <w:ind w:firstLine="0" w:firstLineChars="0"/>
              <w:jc w:val="center"/>
              <w:rPr>
                <w:rFonts w:ascii="宋体" w:hAnsi="宋体"/>
                <w:color w:val="auto"/>
                <w:kern w:val="2"/>
                <w:sz w:val="21"/>
                <w:szCs w:val="21"/>
              </w:rPr>
            </w:pPr>
          </w:p>
          <w:p>
            <w:pPr>
              <w:pStyle w:val="10"/>
              <w:widowControl w:val="0"/>
              <w:spacing w:line="360" w:lineRule="auto"/>
              <w:ind w:firstLine="0" w:firstLineChars="0"/>
              <w:jc w:val="center"/>
              <w:rPr>
                <w:rFonts w:ascii="宋体" w:hAnsi="宋体"/>
                <w:color w:val="auto"/>
                <w:kern w:val="2"/>
                <w:sz w:val="21"/>
                <w:szCs w:val="21"/>
              </w:rPr>
            </w:pPr>
          </w:p>
          <w:p>
            <w:pPr>
              <w:pStyle w:val="10"/>
              <w:widowControl w:val="0"/>
              <w:tabs>
                <w:tab w:val="left" w:pos="6690"/>
              </w:tabs>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pPr>
              <w:pStyle w:val="10"/>
              <w:widowControl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pPr>
        <w:pStyle w:val="10"/>
        <w:widowControl w:val="0"/>
        <w:spacing w:line="360" w:lineRule="auto"/>
        <w:ind w:firstLine="420"/>
        <w:rPr>
          <w:rFonts w:ascii="黑体" w:hAnsi="黑体" w:eastAsia="黑体"/>
          <w:color w:val="auto"/>
          <w:sz w:val="21"/>
          <w:szCs w:val="21"/>
          <w:u w:color="000000"/>
        </w:rPr>
      </w:pPr>
    </w:p>
    <w:p>
      <w:pPr>
        <w:rPr>
          <w:rFonts w:hint="eastAsia"/>
          <w:lang w:eastAsia="zh-CN"/>
        </w:rPr>
      </w:pPr>
      <w:r>
        <w:rPr>
          <w:rFonts w:hint="eastAsia"/>
          <w:lang w:eastAsia="zh-CN"/>
        </w:rPr>
        <w:br w:type="page"/>
      </w:r>
    </w:p>
    <w:p>
      <w:pPr>
        <w:snapToGrid w:val="0"/>
        <w:spacing w:before="120" w:after="120" w:line="560" w:lineRule="exact"/>
        <w:jc w:val="center"/>
        <w:outlineLvl w:val="1"/>
        <w:rPr>
          <w:rFonts w:ascii="Calibri" w:hAnsi="Calibri" w:eastAsia="楷体_GB2312"/>
          <w:b/>
          <w:color w:val="auto"/>
          <w:kern w:val="0"/>
          <w:sz w:val="32"/>
          <w:szCs w:val="20"/>
        </w:rPr>
      </w:pPr>
      <w:bookmarkStart w:id="44" w:name="_Toc102633994"/>
      <w:bookmarkStart w:id="45" w:name="_Toc102634288"/>
      <w:bookmarkStart w:id="46" w:name="_Toc15033767"/>
      <w:bookmarkStart w:id="47" w:name="_Toc102634420"/>
      <w:bookmarkStart w:id="48" w:name="_Toc18997"/>
      <w:bookmarkStart w:id="49" w:name="_Toc102633920"/>
      <w:r>
        <w:rPr>
          <w:rFonts w:hint="eastAsia" w:ascii="Calibri" w:hAnsi="Calibri" w:eastAsia="楷体_GB2312"/>
          <w:b/>
          <w:color w:val="auto"/>
          <w:kern w:val="0"/>
          <w:sz w:val="32"/>
          <w:szCs w:val="20"/>
          <w:lang w:val="en-US" w:eastAsia="zh-CN"/>
        </w:rPr>
        <w:t>四、</w:t>
      </w:r>
      <w:r>
        <w:rPr>
          <w:rFonts w:ascii="Calibri" w:hAnsi="Calibri" w:eastAsia="楷体_GB2312"/>
          <w:b/>
          <w:color w:val="auto"/>
          <w:kern w:val="0"/>
          <w:sz w:val="32"/>
          <w:szCs w:val="20"/>
        </w:rPr>
        <w:t xml:space="preserve"> 评价结论</w:t>
      </w:r>
      <w:bookmarkEnd w:id="44"/>
      <w:bookmarkEnd w:id="45"/>
      <w:bookmarkEnd w:id="46"/>
      <w:bookmarkEnd w:id="47"/>
      <w:bookmarkEnd w:id="48"/>
      <w:bookmarkEnd w:id="49"/>
    </w:p>
    <w:p>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通过对</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中国石化山东泰山石油股份有限公司泰安第二十四加油站</w:t>
      </w:r>
      <w:r>
        <w:rPr>
          <w:rFonts w:ascii="宋体" w:hAnsi="Times New Roman" w:eastAsia="宋体" w:cs="Times New Roman"/>
          <w:snapToGrid w:val="0"/>
          <w:color w:val="000000" w:themeColor="text1"/>
          <w:sz w:val="28"/>
          <w:lang w:val="en-US" w:eastAsia="zh-CN" w:bidi="ar-SA"/>
          <w14:textFill>
            <w14:solidFill>
              <w14:schemeClr w14:val="tx1"/>
            </w14:solidFill>
          </w14:textFill>
        </w:rPr>
        <w:t>的经营情况的安全现状评价，评价组认为：</w:t>
      </w:r>
    </w:p>
    <w:p>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中国石化山东泰山石油股份有限公司泰安第二十四加油站</w:t>
      </w:r>
      <w:r>
        <w:rPr>
          <w:rFonts w:ascii="宋体" w:hAnsi="Times New Roman" w:eastAsia="宋体" w:cs="Times New Roman"/>
          <w:snapToGrid w:val="0"/>
          <w:color w:val="000000" w:themeColor="text1"/>
          <w:sz w:val="28"/>
          <w:lang w:val="en-US" w:eastAsia="zh-CN" w:bidi="ar-SA"/>
          <w14:textFill>
            <w14:solidFill>
              <w14:schemeClr w14:val="tx1"/>
            </w14:solidFill>
          </w14:textFill>
        </w:rPr>
        <w:t>周边环境良好、总平面布置符合《汽车加油加气加氢站技术标准》、《建筑设计防火规范》等相关国家标准、行业标准的规定。</w:t>
      </w:r>
    </w:p>
    <w:p>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该站建立健全了安全生产责任制、安全生产规章制度和安全操作规程；编制了生产安全事故应急预案并备案，配备了必要的应急救援器材、设备。</w:t>
      </w:r>
    </w:p>
    <w:p>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该加油站危险化学品</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的储存条件</w:t>
      </w:r>
      <w:r>
        <w:rPr>
          <w:rFonts w:ascii="宋体" w:hAnsi="Times New Roman" w:eastAsia="宋体" w:cs="Times New Roman"/>
          <w:snapToGrid w:val="0"/>
          <w:color w:val="000000" w:themeColor="text1"/>
          <w:sz w:val="28"/>
          <w:lang w:val="en-US" w:eastAsia="zh-CN" w:bidi="ar-SA"/>
          <w14:textFill>
            <w14:solidFill>
              <w14:schemeClr w14:val="tx1"/>
            </w14:solidFill>
          </w14:textFill>
        </w:rPr>
        <w:t>满足</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现行法规和标准规范的要求</w:t>
      </w:r>
      <w:r>
        <w:rPr>
          <w:rFonts w:ascii="宋体" w:hAnsi="Times New Roman" w:eastAsia="宋体" w:cs="Times New Roman"/>
          <w:snapToGrid w:val="0"/>
          <w:color w:val="000000" w:themeColor="text1"/>
          <w:sz w:val="28"/>
          <w:lang w:val="en-US" w:eastAsia="zh-CN" w:bidi="ar-SA"/>
          <w14:textFill>
            <w14:solidFill>
              <w14:schemeClr w14:val="tx1"/>
            </w14:solidFill>
          </w14:textFill>
        </w:rPr>
        <w:t>。</w:t>
      </w:r>
    </w:p>
    <w:p>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针对危险化学品经营中存在的各类危险有害因素，</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该站</w:t>
      </w:r>
      <w:r>
        <w:rPr>
          <w:rFonts w:ascii="宋体" w:hAnsi="Times New Roman" w:eastAsia="宋体" w:cs="Times New Roman"/>
          <w:snapToGrid w:val="0"/>
          <w:color w:val="000000" w:themeColor="text1"/>
          <w:sz w:val="28"/>
          <w:lang w:val="en-US" w:eastAsia="zh-CN" w:bidi="ar-SA"/>
          <w14:textFill>
            <w14:solidFill>
              <w14:schemeClr w14:val="tx1"/>
            </w14:solidFill>
          </w14:textFill>
        </w:rPr>
        <w:t>已采取了相应的安全技术控制措施和安全管理措施。</w:t>
      </w:r>
    </w:p>
    <w:p>
      <w:pPr>
        <w:widowControl w:val="0"/>
        <w:adjustRightInd w:val="0"/>
        <w:snapToGrid w:val="0"/>
        <w:spacing w:line="360" w:lineRule="auto"/>
        <w:ind w:firstLine="562" w:firstLineChars="200"/>
        <w:jc w:val="both"/>
        <w:rPr>
          <w:rFonts w:ascii="Times New Roman" w:hAnsi="Times New Roman" w:eastAsia="宋体" w:cs="Times New Roman"/>
          <w:b/>
          <w:bCs/>
          <w:color w:val="000000" w:themeColor="text1"/>
          <w:sz w:val="28"/>
          <w:lang w:val="en-US" w:eastAsia="zh-CN" w:bidi="ar-SA"/>
          <w14:textFill>
            <w14:solidFill>
              <w14:schemeClr w14:val="tx1"/>
            </w14:solidFill>
          </w14:textFill>
        </w:rPr>
      </w:pPr>
      <w:r>
        <w:rPr>
          <w:rFonts w:ascii="Times New Roman" w:hAnsi="Times New Roman" w:eastAsia="宋体" w:cs="Times New Roman"/>
          <w:b/>
          <w:bCs/>
          <w:color w:val="000000" w:themeColor="text1"/>
          <w:sz w:val="28"/>
          <w:lang w:val="en-US" w:eastAsia="zh-CN" w:bidi="ar-SA"/>
          <w14:textFill>
            <w14:solidFill>
              <w14:schemeClr w14:val="tx1"/>
            </w14:solidFill>
          </w14:textFill>
        </w:rPr>
        <w:t>综上所述，</w:t>
      </w:r>
      <w:r>
        <w:rPr>
          <w:rFonts w:hint="eastAsia" w:ascii="Times New Roman" w:hAnsi="Times New Roman" w:eastAsia="宋体" w:cs="Times New Roman"/>
          <w:b/>
          <w:color w:val="000000" w:themeColor="text1"/>
          <w:sz w:val="28"/>
          <w:lang w:val="en-US" w:eastAsia="zh-CN" w:bidi="ar-SA"/>
          <w14:textFill>
            <w14:solidFill>
              <w14:schemeClr w14:val="tx1"/>
            </w14:solidFill>
          </w14:textFill>
        </w:rPr>
        <w:t>中国石化山东泰山石油股份有限公司泰安第二十四加油站</w:t>
      </w:r>
      <w:r>
        <w:rPr>
          <w:rFonts w:ascii="Times New Roman" w:hAnsi="Times New Roman" w:eastAsia="宋体" w:cs="Times New Roman"/>
          <w:b/>
          <w:bCs/>
          <w:color w:val="000000" w:themeColor="text1"/>
          <w:sz w:val="28"/>
          <w:lang w:val="en-US" w:eastAsia="zh-CN" w:bidi="ar-SA"/>
          <w14:textFill>
            <w14:solidFill>
              <w14:schemeClr w14:val="tx1"/>
            </w14:solidFill>
          </w14:textFill>
        </w:rPr>
        <w:t>危险化学品经营符合国家有关安全生产的法律法规、技术标准要求，具备经营</w:t>
      </w:r>
      <w:r>
        <w:rPr>
          <w:rFonts w:hint="eastAsia" w:ascii="Times New Roman" w:hAnsi="Times New Roman" w:eastAsia="宋体" w:cs="Times New Roman"/>
          <w:b/>
          <w:bCs/>
          <w:color w:val="000000" w:themeColor="text1"/>
          <w:sz w:val="28"/>
          <w:lang w:val="en-US" w:eastAsia="zh-CN" w:bidi="ar-SA"/>
          <w14:textFill>
            <w14:solidFill>
              <w14:schemeClr w14:val="tx1"/>
            </w14:solidFill>
          </w14:textFill>
        </w:rPr>
        <w:t>成品油</w:t>
      </w:r>
      <w:r>
        <w:rPr>
          <w:rFonts w:ascii="Times New Roman" w:hAnsi="Times New Roman" w:eastAsia="宋体" w:cs="Times New Roman"/>
          <w:b/>
          <w:bCs/>
          <w:color w:val="000000" w:themeColor="text1"/>
          <w:sz w:val="28"/>
          <w:lang w:val="en-US" w:eastAsia="zh-CN" w:bidi="ar-SA"/>
          <w14:textFill>
            <w14:solidFill>
              <w14:schemeClr w14:val="tx1"/>
            </w14:solidFill>
          </w14:textFill>
        </w:rPr>
        <w:t>的安全条件。</w:t>
      </w:r>
    </w:p>
    <w:p>
      <w:pPr>
        <w:pStyle w:val="7"/>
        <w:rPr>
          <w:rFonts w:hint="eastAsia"/>
          <w:lang w:eastAsia="zh-CN"/>
        </w:rPr>
      </w:pPr>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MjgwYTYyNTFiZTM2NjFjYWJjMTE0Zjc2NGE3ZWQifQ=="/>
  </w:docVars>
  <w:rsids>
    <w:rsidRoot w:val="5EC474DA"/>
    <w:rsid w:val="02F606EC"/>
    <w:rsid w:val="08484C58"/>
    <w:rsid w:val="11EA344F"/>
    <w:rsid w:val="1B0E0AEC"/>
    <w:rsid w:val="205760E3"/>
    <w:rsid w:val="266F14EB"/>
    <w:rsid w:val="462C10A4"/>
    <w:rsid w:val="50D47816"/>
    <w:rsid w:val="555969E5"/>
    <w:rsid w:val="5684380C"/>
    <w:rsid w:val="5EC474DA"/>
    <w:rsid w:val="60C93880"/>
    <w:rsid w:val="630C73A4"/>
    <w:rsid w:val="66457F90"/>
    <w:rsid w:val="6CD63790"/>
    <w:rsid w:val="6D432C87"/>
    <w:rsid w:val="75BD77DF"/>
    <w:rsid w:val="7A68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8"/>
      <w:szCs w:val="20"/>
      <w:u w:color="000000"/>
      <w:lang w:val="en-US" w:eastAsia="zh-CN" w:bidi="ar-SA"/>
    </w:rPr>
  </w:style>
  <w:style w:type="paragraph" w:styleId="3">
    <w:name w:val="Plain Text"/>
    <w:autoRedefine/>
    <w:unhideWhenUsed/>
    <w:qFormat/>
    <w:uiPriority w:val="99"/>
    <w:pPr>
      <w:widowControl w:val="0"/>
      <w:jc w:val="both"/>
    </w:pPr>
    <w:rPr>
      <w:rFonts w:ascii="宋体" w:hAnsi="Courier New" w:eastAsia="宋体" w:cs="Times New Roman"/>
      <w:kern w:val="0"/>
      <w:sz w:val="20"/>
      <w:szCs w:val="20"/>
      <w:lang w:val="en-US" w:eastAsia="zh-CN" w:bidi="ar-SA"/>
    </w:rPr>
  </w:style>
  <w:style w:type="paragraph" w:styleId="4">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customStyle="1" w:styleId="7">
    <w:name w:val="111"/>
    <w:autoRedefine/>
    <w:qFormat/>
    <w:uiPriority w:val="0"/>
    <w:pPr>
      <w:widowControl w:val="0"/>
      <w:spacing w:before="100" w:beforeAutospacing="1" w:after="100" w:afterAutospacing="1"/>
      <w:jc w:val="center"/>
      <w:outlineLvl w:val="0"/>
    </w:pPr>
    <w:rPr>
      <w:rFonts w:ascii="Times New Roman" w:hAnsi="Times New Roman" w:eastAsia="宋体" w:cs="Times New Roman"/>
      <w:kern w:val="2"/>
      <w:sz w:val="32"/>
      <w:szCs w:val="32"/>
      <w:lang w:val="en-US" w:eastAsia="zh-CN" w:bidi="ar-SA"/>
    </w:rPr>
  </w:style>
  <w:style w:type="paragraph" w:customStyle="1" w:styleId="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题目"/>
    <w:autoRedefine/>
    <w:qFormat/>
    <w:uiPriority w:val="0"/>
    <w:pPr>
      <w:widowControl w:val="0"/>
      <w:jc w:val="center"/>
      <w:outlineLvl w:val="0"/>
    </w:pPr>
    <w:rPr>
      <w:rFonts w:ascii="黑体" w:hAnsi="黑体" w:eastAsia="黑体" w:cs="Times New Roman"/>
      <w:kern w:val="2"/>
      <w:sz w:val="32"/>
      <w:szCs w:val="32"/>
      <w:lang w:val="en-US" w:eastAsia="zh-CN" w:bidi="ar-SA"/>
    </w:rPr>
  </w:style>
  <w:style w:type="paragraph" w:customStyle="1" w:styleId="10">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1">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2">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3">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4">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5">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6">
    <w:name w:val="表内文字"/>
    <w:autoRedefine/>
    <w:qFormat/>
    <w:uiPriority w:val="0"/>
    <w:pPr>
      <w:widowControl w:val="0"/>
      <w:spacing w:line="320" w:lineRule="exact"/>
      <w:jc w:val="center"/>
    </w:pPr>
    <w:rPr>
      <w:rFonts w:ascii="Times New Roman" w:hAnsi="Times New Roman" w:eastAsia="宋体" w:cs="Times New Roman"/>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管理员</dc:creator>
  <cp:lastModifiedBy>Administrator</cp:lastModifiedBy>
  <dcterms:modified xsi:type="dcterms:W3CDTF">2024-09-04T08:00:15Z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635A839541884907B1A9F2E094ED0D74_13</vt:lpwstr>
  </property>
</Properties>
</file>