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3A9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7A57BC9C">
      <w:pPr>
        <w:rPr>
          <w:rFonts w:hint="eastAsia"/>
          <w:sz w:val="21"/>
          <w:szCs w:val="21"/>
          <w:lang w:val="en-US" w:eastAsia="zh-CN"/>
        </w:rPr>
      </w:pPr>
      <w:r>
        <w:rPr>
          <w:rFonts w:hint="eastAsia"/>
          <w:sz w:val="21"/>
          <w:szCs w:val="21"/>
          <w:lang w:val="en-US" w:eastAsia="zh-CN"/>
        </w:rPr>
        <w:t>项目编号：</w:t>
      </w:r>
    </w:p>
    <w:tbl>
      <w:tblPr>
        <w:tblStyle w:val="7"/>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4C7CA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3341165">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1679E3C5">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中国石化山东泰山石油股份有限公司新泰第十一加油站改造项目</w:t>
            </w:r>
          </w:p>
          <w:p w14:paraId="7035C3AC">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SA"/>
              </w:rPr>
              <w:t>设立安全评价报告</w:t>
            </w:r>
          </w:p>
        </w:tc>
      </w:tr>
      <w:tr w14:paraId="73DE5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451" w:hRule="atLeast"/>
          <w:jc w:val="center"/>
        </w:trPr>
        <w:tc>
          <w:tcPr>
            <w:tcW w:w="1832" w:type="dxa"/>
            <w:tcBorders>
              <w:tl2br w:val="nil"/>
              <w:tr2bl w:val="nil"/>
            </w:tcBorders>
            <w:shd w:val="clear" w:color="auto" w:fill="auto"/>
            <w:vAlign w:val="center"/>
          </w:tcPr>
          <w:p w14:paraId="3F8DCA90">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44C458D3">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中国石化山东泰山石油股份有限公司新泰第十一加油站位于新泰市环城南路中段，许可范围为汽油、乙醇汽油、柴油的零售业务，交通十分便利。加油站北侧为青龙路，南侧为空地，西侧为永华物资有限公司厂房（戊类），东侧为民房。</w:t>
            </w:r>
          </w:p>
          <w:p w14:paraId="655F0F9E">
            <w:pPr>
              <w:adjustRightInd w:val="0"/>
              <w:snapToGrid w:val="0"/>
              <w:spacing w:line="240" w:lineRule="auto"/>
              <w:rPr>
                <w:rFonts w:hint="eastAsia" w:ascii="宋体" w:hAnsi="宋体" w:eastAsia="宋体" w:cs="宋体"/>
                <w:b w:val="0"/>
                <w:bCs w:val="0"/>
                <w:color w:val="auto"/>
                <w:kern w:val="0"/>
                <w:sz w:val="21"/>
                <w:szCs w:val="21"/>
                <w:highlight w:val="none"/>
              </w:rPr>
            </w:pPr>
            <w:r>
              <w:rPr>
                <w:rFonts w:hint="eastAsia" w:ascii="宋体" w:hAnsi="宋体"/>
                <w:sz w:val="20"/>
                <w:szCs w:val="24"/>
                <w:lang w:val="en-US" w:eastAsia="zh-CN"/>
              </w:rPr>
              <w:t>该站于2024年9月由哈尔滨天源石化工程设计有限责任公司出具了设计图纸。该站拟在加油区设4台30m³卧式SF双层储油罐（3台汽油储罐、1台柴油储罐），油品折合总容积为105m³，油罐埋地设置，拟设通气管3根（沿罩棚立柱向上敷设），拟更换1台双枪双油品(自助型)、1台双枪单油品、2台四枪四油品潜油泵加油机（潜油泵依托原有），拟重新敷设工艺管道，出油管道采用导静电双层热塑性塑料管道，拟建双层罐及双层管道防渗漏监测系统，拟建型钢罩棚一座，拟建加油岛4座，拟更换防撞柱8个，站房利旧改造。根据《汽车加油加气加氢站技术标准》（GB50156-2021）标准规定：属二级加油站。</w:t>
            </w:r>
          </w:p>
        </w:tc>
      </w:tr>
      <w:tr w14:paraId="6C054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CB40D8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44B4B812">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1FCBB86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6BF92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E120E7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73E7DF0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23E16B3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FD0E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6086F46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706C29C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237809B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3A36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58CF63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471CC88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  磊</w:t>
            </w:r>
          </w:p>
        </w:tc>
        <w:tc>
          <w:tcPr>
            <w:tcW w:w="2918" w:type="dxa"/>
            <w:tcBorders>
              <w:tl2br w:val="nil"/>
              <w:tr2bl w:val="nil"/>
            </w:tcBorders>
            <w:shd w:val="clear" w:color="auto" w:fill="auto"/>
            <w:noWrap/>
            <w:vAlign w:val="center"/>
          </w:tcPr>
          <w:p w14:paraId="7BF3D1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342B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0D8F6F5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8214A3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14:paraId="4454A16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6871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F4EDAE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66233AE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  静</w:t>
            </w:r>
          </w:p>
        </w:tc>
        <w:tc>
          <w:tcPr>
            <w:tcW w:w="2918" w:type="dxa"/>
            <w:tcBorders>
              <w:tl2br w:val="nil"/>
              <w:tr2bl w:val="nil"/>
            </w:tcBorders>
            <w:shd w:val="clear" w:color="auto" w:fill="auto"/>
            <w:noWrap/>
            <w:vAlign w:val="center"/>
          </w:tcPr>
          <w:p w14:paraId="417B7B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3493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7502101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6668269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4DA7082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47C2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3D8316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27AD443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14:paraId="7FAEEC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96E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5A740C7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1B9378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475BE5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83A4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E3A63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5F4D32A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0CF7197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08710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DC1F94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69F73D9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71B8CF9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1D8A5C6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763D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27BF893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5FE832B3">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77464E9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5240011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767DC8D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48E9F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341564D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37CA163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2024.09.20</w:t>
            </w:r>
          </w:p>
        </w:tc>
        <w:tc>
          <w:tcPr>
            <w:tcW w:w="2350" w:type="dxa"/>
            <w:tcBorders>
              <w:tl2br w:val="nil"/>
              <w:tr2bl w:val="nil"/>
            </w:tcBorders>
            <w:shd w:val="clear" w:color="auto" w:fill="auto"/>
            <w:noWrap/>
            <w:vAlign w:val="center"/>
          </w:tcPr>
          <w:p w14:paraId="5F951CA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1A0D727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485A9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9F8E4F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3B64544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2024.10.08</w:t>
            </w:r>
          </w:p>
        </w:tc>
        <w:tc>
          <w:tcPr>
            <w:tcW w:w="2350" w:type="dxa"/>
            <w:tcBorders>
              <w:tl2br w:val="nil"/>
              <w:tr2bl w:val="nil"/>
            </w:tcBorders>
            <w:shd w:val="clear" w:color="auto" w:fill="auto"/>
            <w:noWrap/>
            <w:vAlign w:val="center"/>
          </w:tcPr>
          <w:p w14:paraId="69AEC73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1C8D8C8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0B67B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F5F5E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46D9683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2024.10.15</w:t>
            </w:r>
          </w:p>
        </w:tc>
        <w:tc>
          <w:tcPr>
            <w:tcW w:w="2350" w:type="dxa"/>
            <w:tcBorders>
              <w:tl2br w:val="nil"/>
              <w:tr2bl w:val="nil"/>
            </w:tcBorders>
            <w:shd w:val="clear" w:color="auto" w:fill="auto"/>
            <w:noWrap/>
            <w:vAlign w:val="center"/>
          </w:tcPr>
          <w:p w14:paraId="4FC9AA0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3DDF3E3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59D3E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1E217AFE">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安全评价报告提交时间：2024.10.28</w:t>
            </w:r>
          </w:p>
        </w:tc>
      </w:tr>
      <w:tr w14:paraId="520FB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6F94C4E7">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099870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40F3F37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3D7ACE2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2CC8963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2D693CE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7E0DAA4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中国石化山东泰山石油股份有限公司新泰第十一加油站</w:t>
      </w:r>
    </w:p>
    <w:p w14:paraId="4C8FFB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改造项目设立安全评价现场照片</w:t>
      </w:r>
    </w:p>
    <w:p w14:paraId="351746BE">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default"/>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lang w:val="en-US" w:eastAsia="zh-CN"/>
        </w:rPr>
        <w:drawing>
          <wp:inline distT="0" distB="0" distL="114300" distR="114300">
            <wp:extent cx="5621020" cy="4215765"/>
            <wp:effectExtent l="0" t="0" r="17780" b="13335"/>
            <wp:docPr id="6" name="图片 6" descr="IMG_20241015_13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41015_132526"/>
                    <pic:cNvPicPr>
                      <a:picLocks noChangeAspect="1"/>
                    </pic:cNvPicPr>
                  </pic:nvPicPr>
                  <pic:blipFill>
                    <a:blip r:embed="rId4"/>
                    <a:stretch>
                      <a:fillRect/>
                    </a:stretch>
                  </pic:blipFill>
                  <pic:spPr>
                    <a:xfrm>
                      <a:off x="0" y="0"/>
                      <a:ext cx="5621020" cy="4215765"/>
                    </a:xfrm>
                    <a:prstGeom prst="rect">
                      <a:avLst/>
                    </a:prstGeom>
                  </pic:spPr>
                </pic:pic>
              </a:graphicData>
            </a:graphic>
          </wp:inline>
        </w:drawing>
      </w:r>
      <w:r>
        <w:rPr>
          <w:rFonts w:hint="default"/>
          <w:lang w:val="en-US" w:eastAsia="zh-CN"/>
        </w:rPr>
        <w:drawing>
          <wp:inline distT="0" distB="0" distL="114300" distR="114300">
            <wp:extent cx="5392420" cy="4044315"/>
            <wp:effectExtent l="0" t="0" r="17780" b="13335"/>
            <wp:docPr id="5" name="图片 5" descr="IMG_20241015_13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41015_132710"/>
                    <pic:cNvPicPr>
                      <a:picLocks noChangeAspect="1"/>
                    </pic:cNvPicPr>
                  </pic:nvPicPr>
                  <pic:blipFill>
                    <a:blip r:embed="rId5"/>
                    <a:stretch>
                      <a:fillRect/>
                    </a:stretch>
                  </pic:blipFill>
                  <pic:spPr>
                    <a:xfrm>
                      <a:off x="0" y="0"/>
                      <a:ext cx="5392420" cy="4044315"/>
                    </a:xfrm>
                    <a:prstGeom prst="rect">
                      <a:avLst/>
                    </a:prstGeom>
                  </pic:spPr>
                </pic:pic>
              </a:graphicData>
            </a:graphic>
          </wp:inline>
        </w:drawing>
      </w:r>
    </w:p>
    <w:p w14:paraId="16CDF603">
      <w:pPr>
        <w:pStyle w:val="14"/>
        <w:widowControl w:val="0"/>
        <w:adjustRightInd w:val="0"/>
        <w:snapToGrid w:val="0"/>
        <w:spacing w:before="468" w:beforeLines="150" w:after="156" w:afterLines="50" w:line="360" w:lineRule="auto"/>
      </w:pPr>
      <w:bookmarkStart w:id="0" w:name="_Toc102634226"/>
      <w:bookmarkStart w:id="1" w:name="_Toc102634395"/>
      <w:bookmarkStart w:id="2" w:name="_Toc102633969"/>
      <w:bookmarkStart w:id="3" w:name="_Toc102633895"/>
      <w:bookmarkStart w:id="4" w:name="_Toc15033742"/>
      <w:r>
        <w:t>第二章 加油站概况</w:t>
      </w:r>
      <w:bookmarkEnd w:id="0"/>
      <w:bookmarkEnd w:id="1"/>
      <w:bookmarkEnd w:id="2"/>
      <w:bookmarkEnd w:id="3"/>
      <w:bookmarkEnd w:id="4"/>
    </w:p>
    <w:p w14:paraId="187FE23E">
      <w:pPr>
        <w:adjustRightInd w:val="0"/>
        <w:snapToGrid w:val="0"/>
        <w:spacing w:line="360" w:lineRule="auto"/>
        <w:jc w:val="center"/>
        <w:outlineLvl w:val="1"/>
        <w:rPr>
          <w:rFonts w:ascii="Calibri" w:hAnsi="Calibri" w:eastAsia="楷体_GB2312"/>
          <w:b/>
          <w:kern w:val="0"/>
          <w:sz w:val="32"/>
          <w:szCs w:val="20"/>
        </w:rPr>
      </w:pPr>
      <w:bookmarkStart w:id="5" w:name="_Toc30066"/>
      <w:bookmarkStart w:id="6" w:name="_Toc102633970"/>
      <w:bookmarkStart w:id="7" w:name="_Toc102634227"/>
      <w:bookmarkStart w:id="8" w:name="_Toc272364524"/>
      <w:bookmarkStart w:id="9" w:name="_Toc208733856"/>
      <w:bookmarkStart w:id="10" w:name="_Toc102634396"/>
      <w:bookmarkStart w:id="11" w:name="_Toc26504"/>
      <w:bookmarkStart w:id="12" w:name="_Toc15033743"/>
      <w:bookmarkStart w:id="13" w:name="_Toc102633896"/>
      <w:r>
        <w:rPr>
          <w:rFonts w:ascii="Calibri" w:hAnsi="Calibri" w:eastAsia="楷体_GB2312"/>
          <w:b/>
          <w:kern w:val="0"/>
          <w:sz w:val="32"/>
          <w:szCs w:val="20"/>
        </w:rPr>
        <w:t>第一节 加油站基本情况</w:t>
      </w:r>
      <w:bookmarkEnd w:id="5"/>
      <w:bookmarkEnd w:id="6"/>
      <w:bookmarkEnd w:id="7"/>
      <w:bookmarkEnd w:id="8"/>
      <w:bookmarkEnd w:id="9"/>
      <w:bookmarkEnd w:id="10"/>
      <w:bookmarkEnd w:id="11"/>
      <w:bookmarkEnd w:id="12"/>
      <w:bookmarkEnd w:id="13"/>
    </w:p>
    <w:p w14:paraId="3AD484B6">
      <w:pPr>
        <w:topLinePunct w:val="0"/>
        <w:bidi w:val="0"/>
        <w:adjustRightInd w:val="0"/>
        <w:snapToGrid w:val="0"/>
        <w:spacing w:line="360" w:lineRule="auto"/>
        <w:ind w:firstLine="700" w:firstLineChars="250"/>
        <w:rPr>
          <w:rFonts w:ascii="宋体" w:hAnsi="宋体"/>
          <w:color w:val="000000"/>
          <w:sz w:val="28"/>
          <w:szCs w:val="28"/>
        </w:rPr>
      </w:pPr>
      <w:r>
        <w:rPr>
          <w:rFonts w:hint="eastAsia" w:ascii="宋体" w:hAnsi="宋体"/>
          <w:color w:val="000000"/>
          <w:sz w:val="28"/>
          <w:szCs w:val="28"/>
        </w:rPr>
        <w:t>中国石化山东泰山石油股份有限公司</w:t>
      </w:r>
      <w:r>
        <w:rPr>
          <w:rFonts w:hint="eastAsia" w:ascii="宋体" w:hAnsi="宋体"/>
          <w:color w:val="000000"/>
          <w:sz w:val="28"/>
          <w:szCs w:val="28"/>
          <w:lang w:eastAsia="zh-CN"/>
        </w:rPr>
        <w:t>新泰第十一加油站</w:t>
      </w:r>
      <w:r>
        <w:rPr>
          <w:rFonts w:hint="eastAsia" w:ascii="宋体" w:hAnsi="宋体"/>
          <w:color w:val="000000"/>
          <w:sz w:val="28"/>
          <w:szCs w:val="28"/>
        </w:rPr>
        <w:t>位于</w:t>
      </w:r>
      <w:r>
        <w:rPr>
          <w:rFonts w:hint="eastAsia" w:ascii="宋体" w:hAnsi="宋体"/>
          <w:color w:val="000000"/>
          <w:sz w:val="28"/>
          <w:szCs w:val="28"/>
          <w:lang w:eastAsia="zh-CN"/>
        </w:rPr>
        <w:t>新泰市环城南路中段</w:t>
      </w:r>
      <w:r>
        <w:rPr>
          <w:rFonts w:hint="eastAsia" w:ascii="宋体" w:hAnsi="宋体"/>
          <w:color w:val="000000"/>
          <w:sz w:val="28"/>
          <w:szCs w:val="28"/>
        </w:rPr>
        <w:t>，许可范围为汽油、乙醇汽油、柴油的零售业务，交通十分便利。加油站</w:t>
      </w:r>
      <w:r>
        <w:rPr>
          <w:rFonts w:hint="eastAsia" w:ascii="宋体" w:hAnsi="宋体"/>
          <w:color w:val="000000"/>
          <w:sz w:val="28"/>
          <w:szCs w:val="28"/>
          <w:lang w:eastAsia="zh-CN"/>
        </w:rPr>
        <w:t>北侧为青龙路，南侧为空地，西侧为永华物资有限公司厂房（戊类），东侧为民房</w:t>
      </w:r>
      <w:r>
        <w:rPr>
          <w:rFonts w:hint="eastAsia" w:ascii="宋体" w:hAnsi="宋体"/>
          <w:color w:val="000000"/>
          <w:sz w:val="28"/>
          <w:szCs w:val="28"/>
        </w:rPr>
        <w:t>。</w:t>
      </w:r>
    </w:p>
    <w:p w14:paraId="6852071F">
      <w:pPr>
        <w:topLinePunct w:val="0"/>
        <w:bidi w:val="0"/>
        <w:adjustRightInd w:val="0"/>
        <w:snapToGrid w:val="0"/>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该站于202</w:t>
      </w:r>
      <w:r>
        <w:rPr>
          <w:rFonts w:hint="eastAsia" w:ascii="宋体" w:hAnsi="宋体"/>
          <w:color w:val="000000"/>
          <w:sz w:val="28"/>
          <w:szCs w:val="28"/>
          <w:lang w:val="en-US" w:eastAsia="zh-CN"/>
        </w:rPr>
        <w:t>4</w:t>
      </w:r>
      <w:r>
        <w:rPr>
          <w:rFonts w:hint="eastAsia" w:ascii="宋体" w:hAnsi="宋体"/>
          <w:color w:val="000000"/>
          <w:sz w:val="28"/>
          <w:szCs w:val="28"/>
        </w:rPr>
        <w:t>年</w:t>
      </w:r>
      <w:r>
        <w:rPr>
          <w:rFonts w:hint="eastAsia" w:ascii="宋体" w:hAnsi="宋体"/>
          <w:color w:val="000000"/>
          <w:sz w:val="28"/>
          <w:szCs w:val="28"/>
          <w:lang w:val="en-US" w:eastAsia="zh-CN"/>
        </w:rPr>
        <w:t>9</w:t>
      </w:r>
      <w:r>
        <w:rPr>
          <w:rFonts w:hint="eastAsia" w:ascii="宋体" w:hAnsi="宋体"/>
          <w:color w:val="000000"/>
          <w:sz w:val="28"/>
          <w:szCs w:val="28"/>
        </w:rPr>
        <w:t>月由哈尔滨天源石化工程设计有限责任公司出具了设计图纸。该站拟在</w:t>
      </w:r>
      <w:r>
        <w:rPr>
          <w:rFonts w:hint="eastAsia" w:ascii="宋体" w:hAnsi="宋体"/>
          <w:color w:val="000000"/>
          <w:sz w:val="28"/>
          <w:szCs w:val="28"/>
          <w:lang w:val="en-US" w:eastAsia="zh-CN"/>
        </w:rPr>
        <w:t>加油区</w:t>
      </w:r>
      <w:r>
        <w:rPr>
          <w:rFonts w:hint="eastAsia" w:ascii="宋体" w:hAnsi="宋体"/>
          <w:color w:val="000000"/>
          <w:sz w:val="28"/>
          <w:szCs w:val="28"/>
        </w:rPr>
        <w:t>设</w:t>
      </w:r>
      <w:r>
        <w:rPr>
          <w:rFonts w:hint="eastAsia" w:ascii="宋体" w:hAnsi="宋体"/>
          <w:color w:val="000000"/>
          <w:sz w:val="28"/>
          <w:szCs w:val="28"/>
          <w:lang w:val="en-US" w:eastAsia="zh-CN"/>
        </w:rPr>
        <w:t>4</w:t>
      </w:r>
      <w:r>
        <w:rPr>
          <w:rFonts w:hint="eastAsia" w:ascii="宋体" w:hAnsi="宋体"/>
          <w:color w:val="000000"/>
          <w:sz w:val="28"/>
          <w:szCs w:val="28"/>
        </w:rPr>
        <w:t>台30m</w:t>
      </w:r>
      <w:r>
        <w:rPr>
          <w:rFonts w:hint="eastAsia" w:ascii="宋体" w:hAnsi="宋体"/>
          <w:color w:val="000000"/>
          <w:sz w:val="28"/>
          <w:szCs w:val="28"/>
          <w:vertAlign w:val="superscript"/>
        </w:rPr>
        <w:t>3</w:t>
      </w:r>
      <w:r>
        <w:rPr>
          <w:rFonts w:hint="eastAsia" w:ascii="宋体" w:hAnsi="宋体"/>
          <w:color w:val="000000"/>
          <w:sz w:val="28"/>
          <w:szCs w:val="28"/>
        </w:rPr>
        <w:t>卧式</w:t>
      </w:r>
      <w:r>
        <w:rPr>
          <w:rFonts w:hint="eastAsia" w:ascii="宋体" w:hAnsi="宋体"/>
          <w:color w:val="000000"/>
          <w:sz w:val="28"/>
          <w:szCs w:val="28"/>
          <w:lang w:val="en-US" w:eastAsia="zh-CN"/>
        </w:rPr>
        <w:t>SF</w:t>
      </w:r>
      <w:r>
        <w:rPr>
          <w:rFonts w:hint="eastAsia" w:ascii="宋体" w:hAnsi="宋体"/>
          <w:color w:val="000000"/>
          <w:sz w:val="28"/>
          <w:szCs w:val="28"/>
        </w:rPr>
        <w:t>双层储油罐（</w:t>
      </w:r>
      <w:r>
        <w:rPr>
          <w:rFonts w:hint="eastAsia" w:ascii="宋体" w:hAnsi="宋体"/>
          <w:color w:val="000000"/>
          <w:sz w:val="28"/>
          <w:szCs w:val="28"/>
          <w:lang w:val="en-US" w:eastAsia="zh-CN"/>
        </w:rPr>
        <w:t>3</w:t>
      </w:r>
      <w:r>
        <w:rPr>
          <w:rFonts w:hint="eastAsia" w:ascii="宋体" w:hAnsi="宋体"/>
          <w:color w:val="000000"/>
          <w:sz w:val="28"/>
          <w:szCs w:val="28"/>
        </w:rPr>
        <w:t>台汽油储罐、1台柴油储罐），油品折合总容积为</w:t>
      </w:r>
      <w:r>
        <w:rPr>
          <w:rFonts w:hint="eastAsia" w:ascii="宋体" w:hAnsi="宋体"/>
          <w:color w:val="000000"/>
          <w:sz w:val="28"/>
          <w:szCs w:val="28"/>
          <w:lang w:val="en-US" w:eastAsia="zh-CN"/>
        </w:rPr>
        <w:t>10</w:t>
      </w:r>
      <w:r>
        <w:rPr>
          <w:rFonts w:hint="eastAsia" w:ascii="宋体" w:hAnsi="宋体"/>
          <w:color w:val="000000"/>
          <w:sz w:val="28"/>
          <w:szCs w:val="28"/>
        </w:rPr>
        <w:t>5m³，</w:t>
      </w:r>
      <w:r>
        <w:rPr>
          <w:rFonts w:hint="eastAsia" w:ascii="宋体" w:hAnsi="宋体"/>
          <w:snapToGrid w:val="0"/>
          <w:color w:val="000000"/>
          <w:kern w:val="0"/>
          <w:sz w:val="28"/>
          <w:szCs w:val="28"/>
        </w:rPr>
        <w:t>油罐埋地设置，拟设通气管</w:t>
      </w:r>
      <w:r>
        <w:rPr>
          <w:rFonts w:hint="eastAsia" w:ascii="宋体" w:hAnsi="宋体"/>
          <w:color w:val="000000"/>
          <w:sz w:val="28"/>
          <w:szCs w:val="28"/>
          <w:lang w:val="en-US" w:eastAsia="zh-CN"/>
        </w:rPr>
        <w:t>4根（沿罩棚立柱向上敷设，含1根油气回收装置通气管）</w:t>
      </w:r>
      <w:r>
        <w:rPr>
          <w:rFonts w:hint="eastAsia" w:ascii="宋体" w:hAnsi="宋体"/>
          <w:color w:val="000000"/>
          <w:sz w:val="28"/>
          <w:szCs w:val="28"/>
        </w:rPr>
        <w:t>，拟更换1台双枪双油品(自助型)、1台双枪单油品、2台四枪四油品潜油泵加油机（潜油泵依托原有），拟重新敷设工艺管道，出油管道采用导静电双层热塑性塑料管道，拟建双层罐及双层管道防渗漏监测系统，拟建</w:t>
      </w:r>
      <w:r>
        <w:rPr>
          <w:rFonts w:hint="eastAsia" w:ascii="宋体" w:hAnsi="宋体"/>
          <w:color w:val="000000"/>
          <w:sz w:val="28"/>
          <w:szCs w:val="28"/>
          <w:lang w:val="en-US" w:eastAsia="zh-CN"/>
        </w:rPr>
        <w:t>型钢罩棚一座，拟建</w:t>
      </w:r>
      <w:r>
        <w:rPr>
          <w:rFonts w:hint="eastAsia" w:ascii="宋体" w:hAnsi="宋体"/>
          <w:color w:val="000000"/>
          <w:sz w:val="28"/>
          <w:szCs w:val="28"/>
        </w:rPr>
        <w:t>加油岛</w:t>
      </w:r>
      <w:r>
        <w:rPr>
          <w:rFonts w:hint="eastAsia" w:ascii="宋体" w:hAnsi="宋体"/>
          <w:color w:val="000000"/>
          <w:sz w:val="28"/>
          <w:szCs w:val="28"/>
          <w:lang w:val="en-US" w:eastAsia="zh-CN"/>
        </w:rPr>
        <w:t>4座，拟更换</w:t>
      </w:r>
      <w:r>
        <w:rPr>
          <w:rFonts w:hint="eastAsia" w:ascii="宋体" w:hAnsi="宋体"/>
          <w:color w:val="000000"/>
          <w:sz w:val="28"/>
          <w:szCs w:val="28"/>
        </w:rPr>
        <w:t>防撞柱</w:t>
      </w:r>
      <w:r>
        <w:rPr>
          <w:rFonts w:hint="eastAsia" w:ascii="宋体" w:hAnsi="宋体"/>
          <w:color w:val="000000"/>
          <w:sz w:val="28"/>
          <w:szCs w:val="28"/>
          <w:lang w:val="en-US" w:eastAsia="zh-CN"/>
        </w:rPr>
        <w:t>8个</w:t>
      </w:r>
      <w:r>
        <w:rPr>
          <w:rFonts w:hint="eastAsia" w:ascii="宋体" w:hAnsi="宋体"/>
          <w:color w:val="000000"/>
          <w:sz w:val="28"/>
          <w:szCs w:val="28"/>
        </w:rPr>
        <w:t>，站房利旧</w:t>
      </w:r>
      <w:r>
        <w:rPr>
          <w:rFonts w:hint="eastAsia" w:ascii="宋体" w:hAnsi="宋体"/>
          <w:color w:val="000000"/>
          <w:sz w:val="28"/>
          <w:szCs w:val="28"/>
          <w:lang w:val="en-US" w:eastAsia="zh-CN"/>
        </w:rPr>
        <w:t>改造</w:t>
      </w:r>
      <w:r>
        <w:rPr>
          <w:rFonts w:hint="eastAsia" w:ascii="宋体" w:hAnsi="宋体"/>
          <w:color w:val="000000"/>
          <w:sz w:val="28"/>
          <w:szCs w:val="28"/>
        </w:rPr>
        <w:t>。根据</w:t>
      </w:r>
      <w:r>
        <w:rPr>
          <w:rFonts w:hint="eastAsia" w:ascii="宋体" w:hAnsi="宋体"/>
          <w:snapToGrid w:val="0"/>
          <w:color w:val="000000"/>
          <w:kern w:val="0"/>
          <w:sz w:val="28"/>
          <w:szCs w:val="28"/>
        </w:rPr>
        <w:t>《汽车加油加气加氢站技术标准》（GB50156-2021）标准规定：属</w:t>
      </w:r>
      <w:r>
        <w:rPr>
          <w:rFonts w:hint="eastAsia" w:ascii="宋体" w:hAnsi="宋体"/>
          <w:snapToGrid w:val="0"/>
          <w:color w:val="000000"/>
          <w:kern w:val="0"/>
          <w:sz w:val="28"/>
          <w:szCs w:val="28"/>
          <w:lang w:val="en-US" w:eastAsia="zh-CN"/>
        </w:rPr>
        <w:t>二</w:t>
      </w:r>
      <w:r>
        <w:rPr>
          <w:rFonts w:hint="eastAsia" w:ascii="宋体" w:hAnsi="宋体"/>
          <w:snapToGrid w:val="0"/>
          <w:color w:val="000000"/>
          <w:kern w:val="0"/>
          <w:sz w:val="28"/>
          <w:szCs w:val="28"/>
        </w:rPr>
        <w:t>级加油站</w:t>
      </w:r>
      <w:r>
        <w:rPr>
          <w:rFonts w:hint="eastAsia" w:ascii="宋体" w:hAnsi="宋体"/>
          <w:color w:val="000000"/>
          <w:sz w:val="28"/>
          <w:szCs w:val="28"/>
        </w:rPr>
        <w:t>。</w:t>
      </w:r>
    </w:p>
    <w:p w14:paraId="43C6F7B6">
      <w:pPr>
        <w:topLinePunct w:val="0"/>
        <w:bidi w:val="0"/>
        <w:adjustRightInd w:val="0"/>
        <w:snapToGrid w:val="0"/>
        <w:spacing w:line="360" w:lineRule="auto"/>
        <w:ind w:firstLine="560" w:firstLineChars="200"/>
        <w:rPr>
          <w:rFonts w:hint="eastAsia" w:ascii="宋体" w:hAnsi="宋体"/>
          <w:color w:val="000000"/>
          <w:sz w:val="28"/>
          <w:szCs w:val="28"/>
        </w:rPr>
      </w:pPr>
      <w:r>
        <w:rPr>
          <w:rFonts w:hint="eastAsia" w:ascii="宋体" w:hAnsi="宋体"/>
          <w:color w:val="000000"/>
          <w:sz w:val="28"/>
          <w:szCs w:val="28"/>
          <w:lang w:val="en-US" w:eastAsia="zh-CN"/>
        </w:rPr>
        <w:t>2000</w:t>
      </w:r>
      <w:r>
        <w:rPr>
          <w:rFonts w:hint="eastAsia" w:ascii="宋体" w:hAnsi="宋体"/>
          <w:color w:val="000000"/>
          <w:sz w:val="28"/>
          <w:szCs w:val="28"/>
        </w:rPr>
        <w:t>年</w:t>
      </w:r>
      <w:r>
        <w:rPr>
          <w:rFonts w:hint="eastAsia" w:ascii="宋体" w:hAnsi="宋体"/>
          <w:color w:val="000000"/>
          <w:sz w:val="28"/>
          <w:szCs w:val="28"/>
          <w:lang w:val="en-US" w:eastAsia="zh-CN"/>
        </w:rPr>
        <w:t>3</w:t>
      </w:r>
      <w:r>
        <w:rPr>
          <w:rFonts w:hint="eastAsia" w:ascii="宋体" w:hAnsi="宋体"/>
          <w:color w:val="000000"/>
          <w:sz w:val="28"/>
          <w:szCs w:val="28"/>
        </w:rPr>
        <w:t>月</w:t>
      </w:r>
      <w:r>
        <w:rPr>
          <w:rFonts w:hint="eastAsia" w:ascii="宋体" w:hAnsi="宋体"/>
          <w:color w:val="000000"/>
          <w:sz w:val="28"/>
          <w:szCs w:val="28"/>
          <w:lang w:val="en-US" w:eastAsia="zh-CN"/>
        </w:rPr>
        <w:t>18</w:t>
      </w:r>
      <w:r>
        <w:rPr>
          <w:rFonts w:hint="eastAsia" w:ascii="宋体" w:hAnsi="宋体"/>
          <w:color w:val="000000"/>
          <w:sz w:val="28"/>
          <w:szCs w:val="28"/>
        </w:rPr>
        <w:t>日，</w:t>
      </w:r>
      <w:r>
        <w:rPr>
          <w:rFonts w:hint="eastAsia" w:ascii="宋体" w:hAnsi="宋体"/>
          <w:color w:val="000000"/>
          <w:sz w:val="28"/>
          <w:szCs w:val="28"/>
          <w:lang w:val="en-US" w:eastAsia="zh-CN"/>
        </w:rPr>
        <w:t>该站</w:t>
      </w:r>
      <w:r>
        <w:rPr>
          <w:rFonts w:hint="eastAsia" w:ascii="宋体" w:hAnsi="宋体"/>
          <w:color w:val="000000"/>
          <w:sz w:val="28"/>
          <w:szCs w:val="28"/>
        </w:rPr>
        <w:t>取得</w:t>
      </w:r>
      <w:r>
        <w:rPr>
          <w:rFonts w:hint="eastAsia" w:ascii="宋体" w:hAnsi="宋体"/>
          <w:color w:val="000000"/>
          <w:sz w:val="28"/>
          <w:szCs w:val="28"/>
          <w:lang w:val="en-US" w:eastAsia="zh-CN"/>
        </w:rPr>
        <w:t>新泰市土地管理局出具</w:t>
      </w:r>
      <w:r>
        <w:rPr>
          <w:rFonts w:hint="eastAsia" w:ascii="宋体" w:hAnsi="宋体"/>
          <w:color w:val="000000"/>
          <w:sz w:val="28"/>
          <w:szCs w:val="28"/>
        </w:rPr>
        <w:t>的《</w:t>
      </w:r>
      <w:r>
        <w:rPr>
          <w:rFonts w:hint="eastAsia" w:ascii="宋体" w:hAnsi="宋体"/>
          <w:color w:val="000000"/>
          <w:sz w:val="28"/>
          <w:szCs w:val="28"/>
          <w:lang w:val="en-US" w:eastAsia="zh-CN"/>
        </w:rPr>
        <w:t>国有土地使用证</w:t>
      </w:r>
      <w:r>
        <w:rPr>
          <w:rFonts w:hint="eastAsia" w:ascii="宋体" w:hAnsi="宋体"/>
          <w:color w:val="000000"/>
          <w:sz w:val="28"/>
          <w:szCs w:val="28"/>
        </w:rPr>
        <w:t>》，</w:t>
      </w:r>
      <w:r>
        <w:rPr>
          <w:rFonts w:hint="eastAsia" w:ascii="宋体" w:hAnsi="宋体"/>
          <w:color w:val="000000"/>
          <w:sz w:val="28"/>
          <w:szCs w:val="28"/>
          <w:lang w:val="en-US" w:eastAsia="zh-CN"/>
        </w:rPr>
        <w:t>证书编号</w:t>
      </w:r>
      <w:r>
        <w:rPr>
          <w:rFonts w:hint="eastAsia" w:ascii="宋体" w:hAnsi="宋体"/>
          <w:color w:val="000000"/>
          <w:sz w:val="28"/>
          <w:szCs w:val="28"/>
        </w:rPr>
        <w:t>：</w:t>
      </w:r>
      <w:r>
        <w:rPr>
          <w:rFonts w:hint="eastAsia" w:ascii="宋体" w:hAnsi="宋体"/>
          <w:color w:val="000000"/>
          <w:sz w:val="28"/>
          <w:szCs w:val="28"/>
          <w:lang w:val="en-US" w:eastAsia="zh-CN"/>
        </w:rPr>
        <w:t>新国用（2000）字第0100188号，终止日期为2039年9月22日</w:t>
      </w:r>
      <w:r>
        <w:rPr>
          <w:rFonts w:hint="eastAsia" w:ascii="宋体" w:hAnsi="宋体"/>
          <w:color w:val="000000"/>
          <w:sz w:val="28"/>
          <w:szCs w:val="28"/>
        </w:rPr>
        <w:t>。</w:t>
      </w:r>
    </w:p>
    <w:p w14:paraId="31CF3BA2">
      <w:pPr>
        <w:pStyle w:val="13"/>
        <w:widowControl w:val="0"/>
        <w:adjustRightInd w:val="0"/>
        <w:snapToGrid w:val="0"/>
        <w:spacing w:line="360" w:lineRule="auto"/>
        <w:ind w:firstLine="560"/>
        <w:rPr>
          <w:rFonts w:ascii="宋体"/>
          <w:color w:val="auto"/>
        </w:rPr>
      </w:pPr>
      <w:r>
        <w:rPr>
          <w:rFonts w:hint="eastAsia" w:ascii="宋体" w:hAnsi="宋体"/>
          <w:color w:val="000000"/>
          <w:sz w:val="28"/>
          <w:szCs w:val="28"/>
          <w:lang w:val="en-US" w:eastAsia="zh-CN"/>
        </w:rPr>
        <w:t>2024年9月30日，该项目取得《山东省建设项目备案证明》项目代码为2409-370982-04-01-779840，建设规模和内容与该拟建项目一致</w:t>
      </w:r>
      <w:r>
        <w:rPr>
          <w:rFonts w:hint="eastAsia" w:ascii="宋体"/>
          <w:color w:val="auto"/>
        </w:rPr>
        <w:t>。</w:t>
      </w:r>
    </w:p>
    <w:p w14:paraId="71B6E748">
      <w:pPr>
        <w:topLinePunct w:val="0"/>
        <w:bidi w:val="0"/>
        <w:adjustRightInd w:val="0"/>
        <w:snapToGrid w:val="0"/>
        <w:spacing w:line="360" w:lineRule="auto"/>
        <w:ind w:firstLine="562" w:firstLineChars="200"/>
        <w:rPr>
          <w:rFonts w:hint="eastAsia" w:ascii="黑体" w:hAnsi="宋体" w:eastAsia="黑体"/>
          <w:b/>
          <w:snapToGrid w:val="0"/>
          <w:color w:val="000000"/>
          <w:kern w:val="0"/>
          <w:sz w:val="28"/>
          <w:szCs w:val="28"/>
        </w:rPr>
      </w:pPr>
    </w:p>
    <w:p w14:paraId="4DDBD8B5">
      <w:pPr>
        <w:topLinePunct w:val="0"/>
        <w:bidi w:val="0"/>
        <w:adjustRightInd w:val="0"/>
        <w:snapToGrid w:val="0"/>
        <w:spacing w:line="360" w:lineRule="auto"/>
        <w:ind w:firstLine="562" w:firstLineChars="200"/>
        <w:rPr>
          <w:rFonts w:hint="eastAsia" w:ascii="黑体" w:hAnsi="宋体" w:eastAsia="黑体"/>
          <w:b/>
          <w:snapToGrid w:val="0"/>
          <w:color w:val="000000"/>
          <w:kern w:val="0"/>
          <w:sz w:val="28"/>
          <w:szCs w:val="28"/>
        </w:rPr>
      </w:pPr>
    </w:p>
    <w:p w14:paraId="68C48EF1">
      <w:pPr>
        <w:topLinePunct w:val="0"/>
        <w:bidi w:val="0"/>
        <w:adjustRightInd w:val="0"/>
        <w:snapToGrid w:val="0"/>
        <w:spacing w:line="360" w:lineRule="auto"/>
        <w:ind w:firstLine="562" w:firstLineChars="200"/>
        <w:rPr>
          <w:rFonts w:hint="eastAsia" w:ascii="黑体" w:hAnsi="宋体" w:eastAsia="黑体"/>
          <w:b/>
          <w:snapToGrid w:val="0"/>
          <w:color w:val="000000"/>
          <w:kern w:val="0"/>
          <w:sz w:val="28"/>
          <w:szCs w:val="28"/>
        </w:rPr>
      </w:pPr>
    </w:p>
    <w:p w14:paraId="1FFB5219">
      <w:pPr>
        <w:topLinePunct w:val="0"/>
        <w:bidi w:val="0"/>
        <w:adjustRightInd w:val="0"/>
        <w:snapToGrid w:val="0"/>
        <w:spacing w:line="360" w:lineRule="auto"/>
        <w:ind w:firstLine="562" w:firstLineChars="200"/>
        <w:rPr>
          <w:rFonts w:hint="eastAsia" w:ascii="黑体" w:hAnsi="宋体" w:eastAsia="黑体"/>
          <w:b/>
          <w:snapToGrid w:val="0"/>
          <w:color w:val="000000"/>
          <w:kern w:val="0"/>
          <w:sz w:val="28"/>
          <w:szCs w:val="28"/>
        </w:rPr>
      </w:pPr>
    </w:p>
    <w:p w14:paraId="2F36930B">
      <w:pPr>
        <w:topLinePunct w:val="0"/>
        <w:bidi w:val="0"/>
        <w:adjustRightInd w:val="0"/>
        <w:snapToGrid w:val="0"/>
        <w:spacing w:line="360" w:lineRule="auto"/>
        <w:ind w:firstLine="562" w:firstLineChars="200"/>
        <w:rPr>
          <w:rFonts w:hint="eastAsia" w:ascii="黑体" w:hAnsi="宋体" w:eastAsia="黑体"/>
          <w:b/>
          <w:snapToGrid w:val="0"/>
          <w:color w:val="000000"/>
          <w:kern w:val="0"/>
          <w:sz w:val="28"/>
          <w:szCs w:val="28"/>
        </w:rPr>
      </w:pPr>
      <w:r>
        <w:rPr>
          <w:rFonts w:hint="eastAsia" w:ascii="黑体" w:hAnsi="宋体" w:eastAsia="黑体"/>
          <w:b/>
          <w:snapToGrid w:val="0"/>
          <w:color w:val="000000"/>
          <w:kern w:val="0"/>
          <w:sz w:val="28"/>
          <w:szCs w:val="28"/>
        </w:rPr>
        <w:t>4.4.1评价单元划分</w:t>
      </w:r>
    </w:p>
    <w:p w14:paraId="25E75C94">
      <w:pPr>
        <w:pStyle w:val="5"/>
        <w:topLinePunct w:val="0"/>
        <w:bidi w:val="0"/>
        <w:adjustRightInd w:val="0"/>
        <w:snapToGrid w:val="0"/>
        <w:ind w:firstLine="560"/>
        <w:textAlignment w:val="center"/>
        <w:rPr>
          <w:rFonts w:hint="eastAsia"/>
          <w:snapToGrid w:val="0"/>
          <w:color w:val="000000"/>
          <w:spacing w:val="0"/>
          <w:kern w:val="0"/>
          <w:sz w:val="28"/>
          <w:szCs w:val="28"/>
        </w:rPr>
      </w:pPr>
      <w:r>
        <w:rPr>
          <w:rFonts w:hint="eastAsia"/>
          <w:snapToGrid w:val="0"/>
          <w:color w:val="000000"/>
          <w:spacing w:val="0"/>
          <w:kern w:val="0"/>
          <w:sz w:val="28"/>
          <w:szCs w:val="28"/>
        </w:rPr>
        <w:t>根据中国石化山东泰山石油股份有限公司</w:t>
      </w:r>
      <w:r>
        <w:rPr>
          <w:rFonts w:hint="eastAsia"/>
          <w:snapToGrid w:val="0"/>
          <w:color w:val="000000"/>
          <w:spacing w:val="0"/>
          <w:kern w:val="0"/>
          <w:sz w:val="28"/>
          <w:szCs w:val="28"/>
          <w:lang w:eastAsia="zh-CN"/>
        </w:rPr>
        <w:t>新泰第十一加油站改造项目</w:t>
      </w:r>
      <w:r>
        <w:rPr>
          <w:rFonts w:hint="eastAsia"/>
          <w:snapToGrid w:val="0"/>
          <w:color w:val="000000"/>
          <w:spacing w:val="0"/>
          <w:kern w:val="0"/>
          <w:sz w:val="28"/>
          <w:szCs w:val="28"/>
        </w:rPr>
        <w:t>的特点,本次安全评价划分为4个单元，即安全管理、站址选择及总平面布置、加油工艺及设施、其它设施。</w:t>
      </w:r>
    </w:p>
    <w:p w14:paraId="57621BFB">
      <w:pPr>
        <w:topLinePunct w:val="0"/>
        <w:bidi w:val="0"/>
        <w:adjustRightInd w:val="0"/>
        <w:snapToGrid w:val="0"/>
        <w:spacing w:line="360" w:lineRule="auto"/>
        <w:ind w:firstLine="562" w:firstLineChars="200"/>
        <w:rPr>
          <w:rFonts w:hint="eastAsia" w:ascii="黑体" w:hAnsi="宋体" w:eastAsia="黑体"/>
          <w:b/>
          <w:bCs/>
          <w:snapToGrid w:val="0"/>
          <w:color w:val="000000"/>
          <w:kern w:val="0"/>
          <w:sz w:val="28"/>
          <w:szCs w:val="28"/>
        </w:rPr>
      </w:pPr>
      <w:r>
        <w:rPr>
          <w:rFonts w:hint="eastAsia" w:ascii="黑体" w:hAnsi="宋体" w:eastAsia="黑体"/>
          <w:b/>
          <w:bCs/>
          <w:snapToGrid w:val="0"/>
          <w:color w:val="000000"/>
          <w:kern w:val="0"/>
          <w:sz w:val="28"/>
          <w:szCs w:val="28"/>
        </w:rPr>
        <w:t>4.4.2评价方法确定</w:t>
      </w:r>
    </w:p>
    <w:p w14:paraId="01F08FD2">
      <w:pPr>
        <w:pStyle w:val="6"/>
        <w:topLinePunct w:val="0"/>
        <w:bidi w:val="0"/>
        <w:adjustRightInd w:val="0"/>
        <w:snapToGrid w:val="0"/>
        <w:spacing w:after="0" w:line="360" w:lineRule="auto"/>
        <w:ind w:firstLine="600" w:firstLineChars="200"/>
        <w:rPr>
          <w:rFonts w:hint="eastAsia" w:ascii="宋体" w:hAnsi="宋体"/>
          <w:snapToGrid w:val="0"/>
          <w:color w:val="000000"/>
          <w:kern w:val="0"/>
          <w:sz w:val="28"/>
          <w:szCs w:val="28"/>
        </w:rPr>
      </w:pPr>
      <w:r>
        <w:rPr>
          <w:rFonts w:hint="eastAsia" w:ascii="宋体" w:hAnsi="宋体"/>
          <w:snapToGrid w:val="0"/>
          <w:color w:val="000000"/>
          <w:kern w:val="0"/>
          <w:sz w:val="28"/>
          <w:szCs w:val="28"/>
        </w:rPr>
        <w:t>根据单元的划分，本项目各部分可划分为如表4-2所示的安全评价单元。</w:t>
      </w:r>
    </w:p>
    <w:p w14:paraId="33ED2D0A">
      <w:pPr>
        <w:pStyle w:val="6"/>
        <w:topLinePunct w:val="0"/>
        <w:bidi w:val="0"/>
        <w:adjustRightInd w:val="0"/>
        <w:snapToGrid w:val="0"/>
        <w:spacing w:after="0" w:line="360" w:lineRule="auto"/>
        <w:ind w:firstLine="600" w:firstLineChars="200"/>
        <w:rPr>
          <w:rFonts w:hint="eastAsia" w:ascii="宋体" w:hAnsi="宋体"/>
          <w:snapToGrid w:val="0"/>
          <w:color w:val="000000"/>
          <w:kern w:val="0"/>
          <w:sz w:val="28"/>
          <w:szCs w:val="28"/>
        </w:rPr>
      </w:pPr>
      <w:r>
        <w:rPr>
          <w:rFonts w:hint="eastAsia" w:ascii="宋体" w:hAnsi="宋体"/>
          <w:snapToGrid w:val="0"/>
          <w:color w:val="000000"/>
          <w:kern w:val="0"/>
          <w:sz w:val="28"/>
          <w:szCs w:val="28"/>
        </w:rPr>
        <w:t>首先，我们运用安全检查表的方法对本项目的可研进行检查，确定本项目的总体安全性。然后，根据各评价单元的特点选择适合的评价方法进行评价，具体方法选择见表4-2。</w:t>
      </w:r>
    </w:p>
    <w:p w14:paraId="10A62E35">
      <w:pPr>
        <w:pStyle w:val="6"/>
        <w:topLinePunct w:val="0"/>
        <w:bidi w:val="0"/>
        <w:adjustRightInd w:val="0"/>
        <w:snapToGrid w:val="0"/>
        <w:spacing w:after="0" w:line="360" w:lineRule="auto"/>
        <w:ind w:firstLine="602" w:firstLineChars="200"/>
        <w:jc w:val="center"/>
        <w:rPr>
          <w:rFonts w:hint="eastAsia" w:ascii="黑体" w:hAnsi="宋体" w:eastAsia="黑体"/>
          <w:b/>
          <w:snapToGrid w:val="0"/>
          <w:color w:val="000000"/>
          <w:kern w:val="0"/>
          <w:sz w:val="28"/>
          <w:szCs w:val="28"/>
        </w:rPr>
      </w:pPr>
      <w:r>
        <w:rPr>
          <w:rFonts w:hint="eastAsia" w:ascii="黑体" w:hAnsi="宋体" w:eastAsia="黑体"/>
          <w:b/>
          <w:snapToGrid w:val="0"/>
          <w:color w:val="000000"/>
          <w:kern w:val="0"/>
          <w:sz w:val="28"/>
          <w:szCs w:val="28"/>
        </w:rPr>
        <w:t>表4-2评价单元划分和评价方法选用表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3038"/>
        <w:gridCol w:w="4582"/>
      </w:tblGrid>
      <w:tr w14:paraId="746D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81" w:type="dxa"/>
            <w:noWrap w:val="0"/>
            <w:vAlign w:val="center"/>
          </w:tcPr>
          <w:p w14:paraId="7C2C0C45">
            <w:pPr>
              <w:pStyle w:val="20"/>
              <w:topLinePunct w:val="0"/>
              <w:bidi w:val="0"/>
              <w:adjustRightInd w:val="0"/>
              <w:snapToGrid w:val="0"/>
              <w:spacing w:line="360" w:lineRule="auto"/>
              <w:textAlignment w:val="center"/>
              <w:rPr>
                <w:rFonts w:hint="eastAsia" w:ascii="宋体" w:hAnsi="宋体"/>
                <w:snapToGrid/>
                <w:color w:val="000000"/>
                <w:kern w:val="2"/>
              </w:rPr>
            </w:pPr>
            <w:r>
              <w:rPr>
                <w:rFonts w:hint="eastAsia" w:ascii="宋体" w:hAnsi="宋体"/>
                <w:snapToGrid/>
                <w:color w:val="000000"/>
                <w:kern w:val="2"/>
              </w:rPr>
              <w:t>序号</w:t>
            </w:r>
          </w:p>
        </w:tc>
        <w:tc>
          <w:tcPr>
            <w:tcW w:w="3038" w:type="dxa"/>
            <w:noWrap w:val="0"/>
            <w:vAlign w:val="center"/>
          </w:tcPr>
          <w:p w14:paraId="63FDFFDB">
            <w:pPr>
              <w:pStyle w:val="20"/>
              <w:topLinePunct w:val="0"/>
              <w:bidi w:val="0"/>
              <w:adjustRightInd w:val="0"/>
              <w:snapToGrid w:val="0"/>
              <w:spacing w:line="360" w:lineRule="auto"/>
              <w:textAlignment w:val="center"/>
              <w:rPr>
                <w:rFonts w:hint="eastAsia" w:ascii="宋体" w:hAnsi="宋体"/>
                <w:snapToGrid/>
                <w:color w:val="000000"/>
                <w:kern w:val="2"/>
              </w:rPr>
            </w:pPr>
            <w:r>
              <w:rPr>
                <w:rFonts w:hint="eastAsia" w:ascii="宋体" w:hAnsi="宋体"/>
                <w:snapToGrid/>
                <w:color w:val="000000"/>
                <w:kern w:val="2"/>
              </w:rPr>
              <w:t>评价单元名称</w:t>
            </w:r>
          </w:p>
        </w:tc>
        <w:tc>
          <w:tcPr>
            <w:tcW w:w="4582" w:type="dxa"/>
            <w:noWrap w:val="0"/>
            <w:vAlign w:val="center"/>
          </w:tcPr>
          <w:p w14:paraId="12718739">
            <w:pPr>
              <w:pStyle w:val="20"/>
              <w:topLinePunct w:val="0"/>
              <w:bidi w:val="0"/>
              <w:adjustRightInd w:val="0"/>
              <w:snapToGrid w:val="0"/>
              <w:spacing w:line="360" w:lineRule="auto"/>
              <w:textAlignment w:val="center"/>
              <w:rPr>
                <w:rFonts w:hint="eastAsia" w:ascii="宋体" w:hAnsi="宋体"/>
                <w:snapToGrid/>
                <w:color w:val="000000"/>
                <w:kern w:val="2"/>
              </w:rPr>
            </w:pPr>
            <w:r>
              <w:rPr>
                <w:rFonts w:hint="eastAsia" w:ascii="宋体" w:hAnsi="宋体"/>
                <w:snapToGrid/>
                <w:color w:val="000000"/>
                <w:kern w:val="2"/>
              </w:rPr>
              <w:t>采用的评价方法</w:t>
            </w:r>
          </w:p>
        </w:tc>
      </w:tr>
      <w:tr w14:paraId="0A28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781" w:type="dxa"/>
            <w:noWrap w:val="0"/>
            <w:vAlign w:val="center"/>
          </w:tcPr>
          <w:p w14:paraId="26CCCACC">
            <w:pPr>
              <w:pStyle w:val="20"/>
              <w:topLinePunct w:val="0"/>
              <w:bidi w:val="0"/>
              <w:adjustRightInd w:val="0"/>
              <w:snapToGrid w:val="0"/>
              <w:spacing w:line="360" w:lineRule="auto"/>
              <w:textAlignment w:val="center"/>
              <w:rPr>
                <w:rFonts w:hint="eastAsia" w:ascii="宋体" w:hAnsi="宋体"/>
                <w:snapToGrid/>
                <w:color w:val="000000"/>
                <w:kern w:val="2"/>
                <w:sz w:val="24"/>
              </w:rPr>
            </w:pPr>
            <w:r>
              <w:rPr>
                <w:rFonts w:hint="eastAsia" w:ascii="宋体" w:hAnsi="宋体"/>
                <w:snapToGrid/>
                <w:color w:val="000000"/>
                <w:kern w:val="2"/>
                <w:sz w:val="24"/>
              </w:rPr>
              <w:t>P</w:t>
            </w:r>
            <w:r>
              <w:rPr>
                <w:rFonts w:hint="eastAsia" w:ascii="宋体" w:hAnsi="宋体"/>
                <w:snapToGrid/>
                <w:color w:val="000000"/>
                <w:kern w:val="2"/>
                <w:sz w:val="24"/>
                <w:vertAlign w:val="subscript"/>
              </w:rPr>
              <w:t>1</w:t>
            </w:r>
          </w:p>
        </w:tc>
        <w:tc>
          <w:tcPr>
            <w:tcW w:w="3038" w:type="dxa"/>
            <w:noWrap w:val="0"/>
            <w:vAlign w:val="center"/>
          </w:tcPr>
          <w:p w14:paraId="416511D3">
            <w:pPr>
              <w:topLinePunct w:val="0"/>
              <w:bidi w:val="0"/>
              <w:adjustRightInd w:val="0"/>
              <w:snapToGrid w:val="0"/>
              <w:spacing w:line="360" w:lineRule="auto"/>
              <w:jc w:val="center"/>
              <w:textAlignment w:val="center"/>
              <w:rPr>
                <w:rFonts w:hint="eastAsia" w:ascii="宋体" w:hAnsi="宋体"/>
                <w:color w:val="000000"/>
              </w:rPr>
            </w:pPr>
            <w:r>
              <w:rPr>
                <w:rFonts w:hint="eastAsia"/>
                <w:color w:val="000000"/>
                <w:szCs w:val="28"/>
              </w:rPr>
              <w:t>安全管理</w:t>
            </w:r>
          </w:p>
        </w:tc>
        <w:tc>
          <w:tcPr>
            <w:tcW w:w="4582" w:type="dxa"/>
            <w:noWrap w:val="0"/>
            <w:vAlign w:val="center"/>
          </w:tcPr>
          <w:p w14:paraId="0D82D04D">
            <w:pPr>
              <w:pStyle w:val="20"/>
              <w:topLinePunct w:val="0"/>
              <w:bidi w:val="0"/>
              <w:adjustRightInd w:val="0"/>
              <w:snapToGrid w:val="0"/>
              <w:spacing w:line="360" w:lineRule="auto"/>
              <w:textAlignment w:val="center"/>
              <w:rPr>
                <w:rFonts w:hint="eastAsia" w:ascii="宋体" w:hAnsi="宋体"/>
                <w:snapToGrid/>
                <w:color w:val="000000"/>
                <w:kern w:val="2"/>
              </w:rPr>
            </w:pPr>
            <w:r>
              <w:rPr>
                <w:rFonts w:hint="eastAsia" w:ascii="宋体" w:hAnsi="宋体"/>
                <w:snapToGrid/>
                <w:color w:val="000000"/>
                <w:kern w:val="2"/>
              </w:rPr>
              <w:t>安全检查表</w:t>
            </w:r>
          </w:p>
        </w:tc>
      </w:tr>
      <w:tr w14:paraId="74A2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781" w:type="dxa"/>
            <w:noWrap w:val="0"/>
            <w:vAlign w:val="center"/>
          </w:tcPr>
          <w:p w14:paraId="478F96C0">
            <w:pPr>
              <w:pStyle w:val="20"/>
              <w:topLinePunct w:val="0"/>
              <w:bidi w:val="0"/>
              <w:adjustRightInd w:val="0"/>
              <w:snapToGrid w:val="0"/>
              <w:spacing w:line="360" w:lineRule="auto"/>
              <w:textAlignment w:val="center"/>
              <w:rPr>
                <w:rFonts w:hint="eastAsia" w:ascii="宋体" w:hAnsi="宋体"/>
                <w:snapToGrid/>
                <w:color w:val="000000"/>
                <w:kern w:val="2"/>
                <w:sz w:val="24"/>
              </w:rPr>
            </w:pPr>
            <w:r>
              <w:rPr>
                <w:rFonts w:hint="eastAsia" w:ascii="宋体" w:hAnsi="宋体"/>
                <w:snapToGrid/>
                <w:color w:val="000000"/>
                <w:kern w:val="2"/>
                <w:sz w:val="24"/>
              </w:rPr>
              <w:t>P</w:t>
            </w:r>
            <w:r>
              <w:rPr>
                <w:rFonts w:hint="eastAsia" w:ascii="宋体" w:hAnsi="宋体"/>
                <w:snapToGrid/>
                <w:color w:val="000000"/>
                <w:kern w:val="2"/>
                <w:sz w:val="24"/>
                <w:vertAlign w:val="subscript"/>
              </w:rPr>
              <w:t>2</w:t>
            </w:r>
          </w:p>
        </w:tc>
        <w:tc>
          <w:tcPr>
            <w:tcW w:w="3038" w:type="dxa"/>
            <w:noWrap w:val="0"/>
            <w:vAlign w:val="center"/>
          </w:tcPr>
          <w:p w14:paraId="59F78592">
            <w:pPr>
              <w:topLinePunct w:val="0"/>
              <w:bidi w:val="0"/>
              <w:adjustRightInd w:val="0"/>
              <w:snapToGrid w:val="0"/>
              <w:spacing w:line="360" w:lineRule="auto"/>
              <w:jc w:val="center"/>
              <w:textAlignment w:val="center"/>
              <w:rPr>
                <w:rFonts w:hint="eastAsia" w:ascii="宋体" w:hAnsi="宋体"/>
                <w:color w:val="000000"/>
              </w:rPr>
            </w:pPr>
            <w:r>
              <w:rPr>
                <w:rFonts w:hint="eastAsia"/>
                <w:color w:val="000000"/>
                <w:szCs w:val="28"/>
              </w:rPr>
              <w:t>站址选择</w:t>
            </w:r>
            <w:r>
              <w:rPr>
                <w:rFonts w:hint="eastAsia" w:ascii="宋体" w:hAnsi="宋体"/>
                <w:color w:val="000000"/>
              </w:rPr>
              <w:t>总平面布置</w:t>
            </w:r>
          </w:p>
        </w:tc>
        <w:tc>
          <w:tcPr>
            <w:tcW w:w="4582" w:type="dxa"/>
            <w:noWrap w:val="0"/>
            <w:vAlign w:val="center"/>
          </w:tcPr>
          <w:p w14:paraId="5A380497">
            <w:pPr>
              <w:pStyle w:val="20"/>
              <w:topLinePunct w:val="0"/>
              <w:bidi w:val="0"/>
              <w:adjustRightInd w:val="0"/>
              <w:snapToGrid w:val="0"/>
              <w:spacing w:line="360" w:lineRule="auto"/>
              <w:textAlignment w:val="center"/>
              <w:rPr>
                <w:rFonts w:hint="eastAsia" w:ascii="宋体" w:hAnsi="宋体"/>
                <w:snapToGrid/>
                <w:color w:val="000000"/>
                <w:kern w:val="2"/>
              </w:rPr>
            </w:pPr>
            <w:r>
              <w:rPr>
                <w:rFonts w:hint="eastAsia" w:ascii="宋体" w:hAnsi="宋体"/>
                <w:snapToGrid/>
                <w:color w:val="000000"/>
                <w:kern w:val="2"/>
              </w:rPr>
              <w:t>安全检查表</w:t>
            </w:r>
          </w:p>
        </w:tc>
      </w:tr>
      <w:tr w14:paraId="0747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781" w:type="dxa"/>
            <w:noWrap w:val="0"/>
            <w:vAlign w:val="center"/>
          </w:tcPr>
          <w:p w14:paraId="62048084">
            <w:pPr>
              <w:pStyle w:val="20"/>
              <w:topLinePunct w:val="0"/>
              <w:bidi w:val="0"/>
              <w:adjustRightInd w:val="0"/>
              <w:snapToGrid w:val="0"/>
              <w:spacing w:line="360" w:lineRule="auto"/>
              <w:textAlignment w:val="center"/>
              <w:rPr>
                <w:rFonts w:hint="eastAsia" w:ascii="宋体" w:hAnsi="宋体"/>
                <w:snapToGrid/>
                <w:color w:val="000000"/>
                <w:kern w:val="2"/>
                <w:sz w:val="24"/>
              </w:rPr>
            </w:pPr>
            <w:r>
              <w:rPr>
                <w:rFonts w:hint="eastAsia" w:ascii="宋体" w:hAnsi="宋体"/>
                <w:snapToGrid/>
                <w:color w:val="000000"/>
                <w:kern w:val="2"/>
                <w:sz w:val="24"/>
              </w:rPr>
              <w:t>P</w:t>
            </w:r>
            <w:r>
              <w:rPr>
                <w:rFonts w:hint="eastAsia" w:ascii="宋体" w:hAnsi="宋体"/>
                <w:snapToGrid/>
                <w:color w:val="000000"/>
                <w:kern w:val="2"/>
                <w:sz w:val="24"/>
                <w:vertAlign w:val="subscript"/>
              </w:rPr>
              <w:t>3</w:t>
            </w:r>
          </w:p>
        </w:tc>
        <w:tc>
          <w:tcPr>
            <w:tcW w:w="3038" w:type="dxa"/>
            <w:noWrap w:val="0"/>
            <w:vAlign w:val="center"/>
          </w:tcPr>
          <w:p w14:paraId="56F93CC7">
            <w:pPr>
              <w:topLinePunct w:val="0"/>
              <w:bidi w:val="0"/>
              <w:adjustRightInd w:val="0"/>
              <w:snapToGrid w:val="0"/>
              <w:spacing w:line="360" w:lineRule="auto"/>
              <w:jc w:val="center"/>
              <w:textAlignment w:val="center"/>
              <w:rPr>
                <w:rFonts w:hint="eastAsia" w:ascii="宋体" w:hAnsi="宋体"/>
                <w:color w:val="000000"/>
              </w:rPr>
            </w:pPr>
            <w:r>
              <w:rPr>
                <w:rFonts w:hint="eastAsia"/>
                <w:color w:val="000000"/>
                <w:szCs w:val="28"/>
              </w:rPr>
              <w:t>加油工艺及设施</w:t>
            </w:r>
          </w:p>
        </w:tc>
        <w:tc>
          <w:tcPr>
            <w:tcW w:w="4582" w:type="dxa"/>
            <w:noWrap w:val="0"/>
            <w:vAlign w:val="center"/>
          </w:tcPr>
          <w:p w14:paraId="22AD83E8">
            <w:pPr>
              <w:pStyle w:val="20"/>
              <w:topLinePunct w:val="0"/>
              <w:bidi w:val="0"/>
              <w:adjustRightInd w:val="0"/>
              <w:snapToGrid w:val="0"/>
              <w:spacing w:line="360" w:lineRule="auto"/>
              <w:textAlignment w:val="center"/>
              <w:rPr>
                <w:rFonts w:hint="eastAsia" w:ascii="宋体" w:hAnsi="宋体"/>
                <w:snapToGrid/>
                <w:color w:val="000000"/>
                <w:kern w:val="2"/>
                <w:szCs w:val="21"/>
              </w:rPr>
            </w:pPr>
            <w:r>
              <w:rPr>
                <w:rFonts w:hint="eastAsia" w:ascii="宋体" w:hAnsi="宋体"/>
                <w:snapToGrid/>
                <w:color w:val="000000"/>
                <w:kern w:val="2"/>
                <w:szCs w:val="21"/>
              </w:rPr>
              <w:t>安全检查表、PHA、危险度评价</w:t>
            </w:r>
          </w:p>
        </w:tc>
      </w:tr>
      <w:tr w14:paraId="2901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781" w:type="dxa"/>
            <w:noWrap w:val="0"/>
            <w:vAlign w:val="center"/>
          </w:tcPr>
          <w:p w14:paraId="56E4DF83">
            <w:pPr>
              <w:pStyle w:val="20"/>
              <w:topLinePunct w:val="0"/>
              <w:bidi w:val="0"/>
              <w:adjustRightInd w:val="0"/>
              <w:snapToGrid w:val="0"/>
              <w:spacing w:line="360" w:lineRule="auto"/>
              <w:textAlignment w:val="center"/>
              <w:rPr>
                <w:rFonts w:hint="eastAsia" w:ascii="宋体" w:hAnsi="宋体"/>
                <w:snapToGrid/>
                <w:color w:val="000000"/>
                <w:kern w:val="2"/>
                <w:sz w:val="24"/>
              </w:rPr>
            </w:pPr>
            <w:r>
              <w:rPr>
                <w:rFonts w:hint="eastAsia" w:ascii="宋体" w:hAnsi="宋体"/>
                <w:snapToGrid/>
                <w:color w:val="000000"/>
                <w:kern w:val="2"/>
                <w:sz w:val="24"/>
              </w:rPr>
              <w:t>P</w:t>
            </w:r>
            <w:r>
              <w:rPr>
                <w:rFonts w:hint="eastAsia" w:ascii="宋体" w:hAnsi="宋体"/>
                <w:snapToGrid/>
                <w:color w:val="000000"/>
                <w:kern w:val="2"/>
                <w:sz w:val="24"/>
                <w:vertAlign w:val="subscript"/>
              </w:rPr>
              <w:t>4</w:t>
            </w:r>
          </w:p>
        </w:tc>
        <w:tc>
          <w:tcPr>
            <w:tcW w:w="3038" w:type="dxa"/>
            <w:noWrap w:val="0"/>
            <w:vAlign w:val="center"/>
          </w:tcPr>
          <w:p w14:paraId="167D7CC5">
            <w:pPr>
              <w:topLinePunct w:val="0"/>
              <w:bidi w:val="0"/>
              <w:adjustRightInd w:val="0"/>
              <w:snapToGrid w:val="0"/>
              <w:spacing w:line="360" w:lineRule="auto"/>
              <w:jc w:val="center"/>
              <w:textAlignment w:val="center"/>
              <w:rPr>
                <w:rFonts w:hint="eastAsia" w:ascii="宋体" w:hAnsi="宋体"/>
                <w:color w:val="000000"/>
              </w:rPr>
            </w:pPr>
            <w:r>
              <w:rPr>
                <w:rFonts w:hint="eastAsia" w:ascii="宋体" w:hAnsi="宋体"/>
                <w:color w:val="000000"/>
                <w:szCs w:val="28"/>
              </w:rPr>
              <w:t>其它设施</w:t>
            </w:r>
          </w:p>
        </w:tc>
        <w:tc>
          <w:tcPr>
            <w:tcW w:w="4582" w:type="dxa"/>
            <w:noWrap w:val="0"/>
            <w:vAlign w:val="center"/>
          </w:tcPr>
          <w:p w14:paraId="15FF4B99">
            <w:pPr>
              <w:widowControl/>
              <w:topLinePunct w:val="0"/>
              <w:bidi w:val="0"/>
              <w:adjustRightInd w:val="0"/>
              <w:snapToGrid w:val="0"/>
              <w:spacing w:line="360" w:lineRule="auto"/>
              <w:jc w:val="center"/>
              <w:textAlignment w:val="center"/>
              <w:rPr>
                <w:rFonts w:hint="eastAsia" w:ascii="宋体" w:hAnsi="宋体"/>
                <w:color w:val="000000"/>
              </w:rPr>
            </w:pPr>
            <w:r>
              <w:rPr>
                <w:rFonts w:hint="eastAsia" w:ascii="宋体" w:hAnsi="宋体"/>
                <w:color w:val="000000"/>
              </w:rPr>
              <w:t>安全检查表</w:t>
            </w:r>
          </w:p>
        </w:tc>
      </w:tr>
    </w:tbl>
    <w:p w14:paraId="5764698B">
      <w:pPr>
        <w:topLinePunct w:val="0"/>
        <w:bidi w:val="0"/>
        <w:adjustRightInd w:val="0"/>
        <w:snapToGrid w:val="0"/>
        <w:spacing w:line="360" w:lineRule="auto"/>
        <w:ind w:firstLine="562" w:firstLineChars="200"/>
        <w:rPr>
          <w:rFonts w:hint="eastAsia" w:ascii="黑体" w:hAnsi="宋体" w:eastAsia="黑体"/>
          <w:b/>
          <w:bCs/>
          <w:snapToGrid w:val="0"/>
          <w:color w:val="000000"/>
          <w:kern w:val="0"/>
          <w:sz w:val="28"/>
          <w:szCs w:val="28"/>
        </w:rPr>
      </w:pPr>
      <w:r>
        <w:rPr>
          <w:rFonts w:hint="eastAsia" w:ascii="黑体" w:hAnsi="宋体" w:eastAsia="黑体"/>
          <w:b/>
          <w:bCs/>
          <w:snapToGrid w:val="0"/>
          <w:color w:val="000000"/>
          <w:kern w:val="0"/>
          <w:sz w:val="28"/>
          <w:szCs w:val="28"/>
        </w:rPr>
        <w:t>4.4.3评价方法选用说明</w:t>
      </w:r>
    </w:p>
    <w:p w14:paraId="2B8E4631">
      <w:pPr>
        <w:topLinePunct w:val="0"/>
        <w:bidi w:val="0"/>
        <w:adjustRightInd w:val="0"/>
        <w:snapToGrid w:val="0"/>
        <w:spacing w:line="360" w:lineRule="auto"/>
        <w:ind w:firstLine="560" w:firstLineChars="200"/>
        <w:rPr>
          <w:rFonts w:hint="eastAsia" w:ascii="宋体" w:hAnsi="宋体"/>
          <w:bCs/>
          <w:snapToGrid w:val="0"/>
          <w:color w:val="000000"/>
          <w:kern w:val="0"/>
          <w:sz w:val="28"/>
          <w:szCs w:val="28"/>
        </w:rPr>
      </w:pPr>
      <w:r>
        <w:rPr>
          <w:rFonts w:hint="eastAsia" w:ascii="宋体" w:hAnsi="宋体"/>
          <w:bCs/>
          <w:snapToGrid w:val="0"/>
          <w:color w:val="000000"/>
          <w:kern w:val="0"/>
          <w:sz w:val="28"/>
          <w:szCs w:val="28"/>
        </w:rPr>
        <w:t>（1）对该项目加油装置及相关设施采用</w:t>
      </w:r>
      <w:r>
        <w:rPr>
          <w:rFonts w:hint="eastAsia" w:ascii="宋体" w:hAnsi="宋体"/>
          <w:snapToGrid w:val="0"/>
          <w:color w:val="000000"/>
          <w:kern w:val="0"/>
          <w:sz w:val="28"/>
          <w:szCs w:val="21"/>
        </w:rPr>
        <w:t>安全检查表、</w:t>
      </w:r>
      <w:r>
        <w:rPr>
          <w:rFonts w:hint="eastAsia" w:ascii="宋体" w:hAnsi="宋体"/>
          <w:bCs/>
          <w:snapToGrid w:val="0"/>
          <w:color w:val="000000"/>
          <w:kern w:val="0"/>
          <w:sz w:val="28"/>
          <w:szCs w:val="28"/>
        </w:rPr>
        <w:t>预先危险性分析法（PHA）预测各危险、有害因素的固有危险、有害程度。</w:t>
      </w:r>
    </w:p>
    <w:p w14:paraId="3DBB3E1D">
      <w:pPr>
        <w:topLinePunct w:val="0"/>
        <w:bidi w:val="0"/>
        <w:adjustRightInd w:val="0"/>
        <w:snapToGrid w:val="0"/>
        <w:spacing w:line="360" w:lineRule="auto"/>
        <w:ind w:firstLine="560" w:firstLineChars="200"/>
        <w:rPr>
          <w:rFonts w:hint="eastAsia" w:ascii="宋体" w:hAnsi="宋体"/>
          <w:bCs/>
          <w:snapToGrid w:val="0"/>
          <w:color w:val="000000"/>
          <w:kern w:val="0"/>
          <w:sz w:val="28"/>
          <w:szCs w:val="28"/>
        </w:rPr>
      </w:pPr>
      <w:r>
        <w:rPr>
          <w:rFonts w:hint="eastAsia" w:ascii="宋体" w:hAnsi="宋体"/>
          <w:bCs/>
          <w:snapToGrid w:val="0"/>
          <w:color w:val="000000"/>
          <w:kern w:val="0"/>
          <w:sz w:val="28"/>
          <w:szCs w:val="28"/>
        </w:rPr>
        <w:t>（2）</w:t>
      </w:r>
      <w:r>
        <w:rPr>
          <w:rFonts w:hint="eastAsia" w:ascii="宋体" w:hAnsi="宋体"/>
          <w:snapToGrid w:val="0"/>
          <w:color w:val="000000"/>
          <w:kern w:val="0"/>
          <w:sz w:val="28"/>
          <w:szCs w:val="28"/>
        </w:rPr>
        <w:t>对危险性较大的油罐区采用危险度评价方法判断是否需要配置自动化控制、超限报警及安全联</w:t>
      </w:r>
      <w:bookmarkStart w:id="14" w:name="_GoBack"/>
      <w:bookmarkEnd w:id="14"/>
      <w:r>
        <w:rPr>
          <w:rFonts w:hint="eastAsia" w:ascii="宋体" w:hAnsi="宋体"/>
          <w:snapToGrid w:val="0"/>
          <w:color w:val="000000"/>
          <w:kern w:val="0"/>
          <w:sz w:val="28"/>
          <w:szCs w:val="28"/>
        </w:rPr>
        <w:t>锁停车设施。</w:t>
      </w:r>
    </w:p>
    <w:p w14:paraId="0698D2E9">
      <w:pPr>
        <w:pStyle w:val="13"/>
        <w:widowControl w:val="0"/>
        <w:spacing w:line="360" w:lineRule="auto"/>
        <w:ind w:firstLine="420"/>
        <w:rPr>
          <w:rFonts w:ascii="黑体" w:hAnsi="黑体" w:eastAsia="黑体"/>
          <w:highlight w:val="none"/>
        </w:rPr>
      </w:pPr>
    </w:p>
    <w:p w14:paraId="0D44F414">
      <w:pPr>
        <w:pStyle w:val="3"/>
        <w:rPr>
          <w:rFonts w:hint="default"/>
          <w:lang w:val="en-US" w:eastAsia="zh-CN"/>
        </w:rPr>
      </w:pPr>
    </w:p>
    <w:p w14:paraId="3853A0C8">
      <w:pPr>
        <w:pStyle w:val="3"/>
        <w:rPr>
          <w:rFonts w:hint="default"/>
          <w:lang w:val="en-US" w:eastAsia="zh-CN"/>
        </w:rPr>
      </w:pPr>
    </w:p>
    <w:p w14:paraId="2F2E377C">
      <w:pPr>
        <w:pStyle w:val="3"/>
        <w:rPr>
          <w:rFonts w:hint="default"/>
          <w:lang w:val="en-US" w:eastAsia="zh-CN"/>
        </w:rPr>
      </w:pPr>
    </w:p>
    <w:p w14:paraId="7FAC2E7F">
      <w:pPr>
        <w:pStyle w:val="3"/>
        <w:spacing w:line="240" w:lineRule="auto"/>
        <w:ind w:left="0" w:leftChars="0" w:firstLine="0" w:firstLineChars="0"/>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5747385" cy="8638540"/>
            <wp:effectExtent l="0" t="0" r="5715" b="10160"/>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6"/>
                    <a:stretch>
                      <a:fillRect/>
                    </a:stretch>
                  </pic:blipFill>
                  <pic:spPr>
                    <a:xfrm>
                      <a:off x="0" y="0"/>
                      <a:ext cx="5747385" cy="863854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NlOGVhYmMyMmY2ZjU2NWRlMjUwNzMzOGE0MTYifQ=="/>
  </w:docVars>
  <w:rsids>
    <w:rsidRoot w:val="35CC29B8"/>
    <w:rsid w:val="03CC63D7"/>
    <w:rsid w:val="09D5345C"/>
    <w:rsid w:val="0A27015B"/>
    <w:rsid w:val="0BD51C61"/>
    <w:rsid w:val="0EDC1223"/>
    <w:rsid w:val="13D12EE6"/>
    <w:rsid w:val="153C4810"/>
    <w:rsid w:val="15CD24F4"/>
    <w:rsid w:val="16BC1C2B"/>
    <w:rsid w:val="1E1E483E"/>
    <w:rsid w:val="22CB7136"/>
    <w:rsid w:val="284F788D"/>
    <w:rsid w:val="2A9D36CA"/>
    <w:rsid w:val="2EC41433"/>
    <w:rsid w:val="335F1F61"/>
    <w:rsid w:val="355F439E"/>
    <w:rsid w:val="35CC29B8"/>
    <w:rsid w:val="3B343FFC"/>
    <w:rsid w:val="3BB85D78"/>
    <w:rsid w:val="420C1409"/>
    <w:rsid w:val="4706325F"/>
    <w:rsid w:val="48FE4AE5"/>
    <w:rsid w:val="4B7D0EF4"/>
    <w:rsid w:val="537F016A"/>
    <w:rsid w:val="563D798B"/>
    <w:rsid w:val="567C6788"/>
    <w:rsid w:val="579A241E"/>
    <w:rsid w:val="5E953707"/>
    <w:rsid w:val="67792FAB"/>
    <w:rsid w:val="6AD40467"/>
    <w:rsid w:val="6BF95CAB"/>
    <w:rsid w:val="6D0669CA"/>
    <w:rsid w:val="717A11AE"/>
    <w:rsid w:val="72FD2CFB"/>
    <w:rsid w:val="7772596D"/>
    <w:rsid w:val="7AB02F22"/>
    <w:rsid w:val="7EA9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4">
    <w:name w:val="Plain Text"/>
    <w:basedOn w:val="1"/>
    <w:unhideWhenUsed/>
    <w:qFormat/>
    <w:uiPriority w:val="99"/>
    <w:rPr>
      <w:rFonts w:ascii="宋体" w:hAnsi="Courier New"/>
      <w:kern w:val="0"/>
      <w:sz w:val="20"/>
      <w:szCs w:val="20"/>
    </w:rPr>
  </w:style>
  <w:style w:type="paragraph" w:styleId="5">
    <w:name w:val="Body Text Indent 2"/>
    <w:basedOn w:val="1"/>
    <w:qFormat/>
    <w:uiPriority w:val="0"/>
    <w:pPr>
      <w:spacing w:line="360" w:lineRule="auto"/>
      <w:ind w:firstLine="504" w:firstLineChars="200"/>
    </w:pPr>
    <w:rPr>
      <w:rFonts w:ascii="宋体" w:hAnsi="宋体"/>
      <w:bCs/>
      <w:color w:val="FF0000"/>
      <w:spacing w:val="6"/>
      <w:sz w:val="24"/>
    </w:rPr>
  </w:style>
  <w:style w:type="paragraph" w:styleId="6">
    <w:name w:val="Body Text First Indent"/>
    <w:basedOn w:val="3"/>
    <w:uiPriority w:val="0"/>
    <w:pPr>
      <w:ind w:firstLine="420" w:firstLineChars="100"/>
    </w:pPr>
  </w:style>
  <w:style w:type="paragraph" w:customStyle="1" w:styleId="9">
    <w:name w:val="111"/>
    <w:basedOn w:val="10"/>
    <w:qFormat/>
    <w:uiPriority w:val="0"/>
    <w:pPr>
      <w:widowControl/>
      <w:spacing w:beforeAutospacing="0" w:afterAutospacing="0"/>
      <w:jc w:val="left"/>
    </w:pPr>
    <w:rPr>
      <w:rFonts w:ascii="宋体" w:hAnsi="宋体" w:eastAsia="宋体" w:cs="宋体"/>
      <w:kern w:val="0"/>
      <w:sz w:val="24"/>
      <w:szCs w:val="24"/>
    </w:rPr>
  </w:style>
  <w:style w:type="paragraph" w:customStyle="1" w:styleId="10">
    <w:name w:val="题目"/>
    <w:basedOn w:val="1"/>
    <w:qFormat/>
    <w:uiPriority w:val="0"/>
    <w:pPr>
      <w:jc w:val="center"/>
      <w:outlineLvl w:val="0"/>
    </w:pPr>
    <w:rPr>
      <w:rFonts w:ascii="黑体" w:hAnsi="黑体" w:eastAsia="黑体"/>
      <w:sz w:val="32"/>
      <w:szCs w:val="32"/>
    </w:r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4">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5">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6">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7">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8">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19">
    <w:name w:val="表内文字"/>
    <w:basedOn w:val="4"/>
    <w:qFormat/>
    <w:uiPriority w:val="0"/>
    <w:pPr>
      <w:spacing w:line="320" w:lineRule="exact"/>
      <w:jc w:val="center"/>
    </w:pPr>
    <w:rPr>
      <w:rFonts w:ascii="Times New Roman" w:hAnsi="Times New Roman"/>
      <w:kern w:val="2"/>
      <w:sz w:val="21"/>
      <w:szCs w:val="21"/>
      <w:u w:color="000000"/>
    </w:rPr>
  </w:style>
  <w:style w:type="paragraph" w:customStyle="1" w:styleId="20">
    <w:name w:val="正文1"/>
    <w:basedOn w:val="1"/>
    <w:uiPriority w:val="0"/>
    <w:pPr>
      <w:snapToGrid w:val="0"/>
      <w:spacing w:line="360" w:lineRule="exact"/>
      <w:jc w:val="center"/>
    </w:pPr>
    <w:rPr>
      <w:snapToGrid w:val="0"/>
      <w:kern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3358</Words>
  <Characters>3729</Characters>
  <Lines>0</Lines>
  <Paragraphs>0</Paragraphs>
  <TotalTime>4</TotalTime>
  <ScaleCrop>false</ScaleCrop>
  <LinksUpToDate>false</LinksUpToDate>
  <CharactersWithSpaces>3763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cp:lastModifiedBy>
  <dcterms:modified xsi:type="dcterms:W3CDTF">2024-11-23T01:58:11Z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158E41C4130D45F7BB2A42425FB8946B_11</vt:lpwstr>
  </property>
</Properties>
</file>