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7A997">
      <w:pPr>
        <w:jc w:val="center"/>
        <w:rPr>
          <w:rFonts w:ascii="黑体" w:eastAsia="黑体"/>
          <w:sz w:val="28"/>
          <w:szCs w:val="28"/>
        </w:rPr>
      </w:pPr>
      <w:r>
        <w:rPr>
          <w:rFonts w:hint="eastAsia" w:ascii="黑体" w:eastAsia="黑体"/>
          <w:color w:val="000000"/>
          <w:sz w:val="28"/>
          <w:szCs w:val="28"/>
        </w:rPr>
        <w:t>20</w:t>
      </w:r>
      <w:r>
        <w:rPr>
          <w:rFonts w:hint="eastAsia" w:ascii="黑体" w:eastAsia="黑体"/>
          <w:color w:val="000000"/>
          <w:sz w:val="28"/>
          <w:szCs w:val="28"/>
          <w:lang w:val="en-US" w:eastAsia="zh-CN"/>
        </w:rPr>
        <w:t>24</w:t>
      </w:r>
      <w:r>
        <w:rPr>
          <w:rFonts w:hint="eastAsia" w:ascii="黑体" w:eastAsia="黑体"/>
          <w:color w:val="000000"/>
          <w:sz w:val="28"/>
          <w:szCs w:val="28"/>
        </w:rPr>
        <w:t>年安</w:t>
      </w:r>
      <w:r>
        <w:rPr>
          <w:rFonts w:hint="eastAsia" w:ascii="黑体" w:eastAsia="黑体"/>
          <w:sz w:val="28"/>
          <w:szCs w:val="28"/>
        </w:rPr>
        <w:t>全评价项目信息表</w:t>
      </w:r>
    </w:p>
    <w:p w14:paraId="1C33EDFA">
      <w:pPr>
        <w:jc w:val="left"/>
        <w:rPr>
          <w:rFonts w:hint="eastAsia"/>
          <w:b/>
          <w:bCs/>
          <w:color w:val="FF0000"/>
          <w:kern w:val="0"/>
          <w:sz w:val="36"/>
        </w:rPr>
      </w:pPr>
      <w:r>
        <w:rPr>
          <w:rFonts w:hint="eastAsia"/>
          <w:kern w:val="0"/>
        </w:rPr>
        <w:t>项目编</w:t>
      </w:r>
      <w:r>
        <w:rPr>
          <w:rFonts w:hint="eastAsia"/>
          <w:color w:val="000000"/>
          <w:kern w:val="0"/>
        </w:rPr>
        <w:t>号：</w:t>
      </w:r>
    </w:p>
    <w:tbl>
      <w:tblPr>
        <w:tblStyle w:val="6"/>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683"/>
        <w:gridCol w:w="1306"/>
        <w:gridCol w:w="3854"/>
        <w:gridCol w:w="1922"/>
      </w:tblGrid>
      <w:tr w14:paraId="1177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trPr>
        <w:tc>
          <w:tcPr>
            <w:tcW w:w="1174" w:type="dxa"/>
            <w:tcBorders>
              <w:top w:val="single" w:color="auto" w:sz="4" w:space="0"/>
              <w:left w:val="single" w:color="auto" w:sz="4" w:space="0"/>
              <w:bottom w:val="single" w:color="auto" w:sz="4" w:space="0"/>
              <w:right w:val="single" w:color="auto" w:sz="4" w:space="0"/>
            </w:tcBorders>
            <w:noWrap w:val="0"/>
            <w:vAlign w:val="center"/>
          </w:tcPr>
          <w:p w14:paraId="0C33BD3D">
            <w:pPr>
              <w:rPr>
                <w:kern w:val="0"/>
              </w:rPr>
            </w:pPr>
            <w:r>
              <w:rPr>
                <w:rFonts w:hint="eastAsia"/>
                <w:kern w:val="0"/>
              </w:rPr>
              <w:t>项目名称</w:t>
            </w:r>
          </w:p>
        </w:tc>
        <w:tc>
          <w:tcPr>
            <w:tcW w:w="7765" w:type="dxa"/>
            <w:gridSpan w:val="4"/>
            <w:tcBorders>
              <w:top w:val="single" w:color="auto" w:sz="4" w:space="0"/>
              <w:left w:val="single" w:color="auto" w:sz="4" w:space="0"/>
              <w:bottom w:val="single" w:color="auto" w:sz="4" w:space="0"/>
              <w:right w:val="single" w:color="auto" w:sz="4" w:space="0"/>
            </w:tcBorders>
            <w:noWrap w:val="0"/>
            <w:vAlign w:val="center"/>
          </w:tcPr>
          <w:p w14:paraId="3C36A395">
            <w:pPr>
              <w:rPr>
                <w:rFonts w:hint="eastAsia"/>
                <w:color w:val="000000"/>
                <w:szCs w:val="21"/>
              </w:rPr>
            </w:pPr>
            <w:bookmarkStart w:id="44" w:name="_GoBack"/>
            <w:r>
              <w:rPr>
                <w:rFonts w:hint="eastAsia"/>
                <w:color w:val="000000"/>
                <w:szCs w:val="21"/>
                <w:lang w:val="en-US" w:eastAsia="zh-CN"/>
              </w:rPr>
              <w:t>中国石化山东泰山石油股份有限公司泰安第二十七加油站</w:t>
            </w:r>
            <w:r>
              <w:rPr>
                <w:rFonts w:hint="eastAsia"/>
                <w:color w:val="000000"/>
                <w:szCs w:val="21"/>
              </w:rPr>
              <w:t>经营危险化学品项目</w:t>
            </w:r>
            <w:bookmarkEnd w:id="44"/>
          </w:p>
        </w:tc>
      </w:tr>
      <w:tr w14:paraId="2425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174" w:type="dxa"/>
            <w:tcBorders>
              <w:top w:val="single" w:color="auto" w:sz="4" w:space="0"/>
              <w:left w:val="single" w:color="auto" w:sz="4" w:space="0"/>
              <w:bottom w:val="single" w:color="auto" w:sz="4" w:space="0"/>
              <w:right w:val="single" w:color="auto" w:sz="4" w:space="0"/>
            </w:tcBorders>
            <w:noWrap w:val="0"/>
            <w:vAlign w:val="center"/>
          </w:tcPr>
          <w:p w14:paraId="5279FD4C">
            <w:pPr>
              <w:jc w:val="left"/>
              <w:rPr>
                <w:kern w:val="0"/>
              </w:rPr>
            </w:pPr>
            <w:r>
              <w:rPr>
                <w:rFonts w:hint="eastAsia"/>
                <w:kern w:val="0"/>
              </w:rPr>
              <w:t>项目简介</w:t>
            </w:r>
          </w:p>
        </w:tc>
        <w:tc>
          <w:tcPr>
            <w:tcW w:w="7765" w:type="dxa"/>
            <w:gridSpan w:val="4"/>
            <w:tcBorders>
              <w:top w:val="single" w:color="auto" w:sz="4" w:space="0"/>
              <w:left w:val="single" w:color="auto" w:sz="4" w:space="0"/>
              <w:bottom w:val="single" w:color="auto" w:sz="4" w:space="0"/>
              <w:right w:val="single" w:color="auto" w:sz="4" w:space="0"/>
            </w:tcBorders>
            <w:noWrap w:val="0"/>
            <w:vAlign w:val="center"/>
          </w:tcPr>
          <w:p w14:paraId="0EF5733D">
            <w:pPr>
              <w:rPr>
                <w:rFonts w:hint="eastAsia" w:ascii="宋体" w:hAnsi="宋体" w:eastAsia="宋体"/>
                <w:color w:val="000000"/>
                <w:szCs w:val="21"/>
                <w:lang w:val="en-US" w:eastAsia="zh-CN"/>
              </w:rPr>
            </w:pPr>
            <w:r>
              <w:rPr>
                <w:rFonts w:hint="eastAsia" w:ascii="宋体" w:hAnsi="宋体"/>
                <w:color w:val="000000"/>
                <w:szCs w:val="21"/>
                <w:lang w:val="en-US" w:eastAsia="zh-CN"/>
              </w:rPr>
              <w:t>中国石化山东泰山石油股份有限公司泰安第二十七加油站位于泰安市黄沟港村委北500米处老泰莱路路南。现有1台双枪加油机、3台单枪加油机，均为自吸式；油罐区在站房北侧行车道下，现有3台30m3埋地双层储罐（包括1台92#乙醇汽油罐、1台95#汽油罐、1台柴油罐），3台油罐均安装了液位仪、检漏仪，其油罐埋地设置，通气管4根；该站汽油设有卸油油气回收系统、加油油气回收系统；按《汽车加油加气加氢站技术标准》GB50156-2021标准规定：V=75m</w:t>
            </w:r>
            <w:r>
              <w:rPr>
                <w:rFonts w:hint="eastAsia" w:ascii="宋体" w:hAnsi="宋体"/>
                <w:color w:val="000000"/>
                <w:szCs w:val="21"/>
                <w:vertAlign w:val="superscript"/>
                <w:lang w:val="en-US" w:eastAsia="zh-CN"/>
              </w:rPr>
              <w:t>3</w:t>
            </w:r>
            <w:r>
              <w:rPr>
                <w:rFonts w:hint="eastAsia" w:ascii="宋体" w:hAnsi="宋体"/>
                <w:color w:val="000000"/>
                <w:szCs w:val="21"/>
                <w:lang w:val="en-US" w:eastAsia="zh-CN"/>
              </w:rPr>
              <w:t>，该站属三级加油站。</w:t>
            </w:r>
          </w:p>
        </w:tc>
      </w:tr>
      <w:tr w14:paraId="264E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14:paraId="37AE4131">
            <w:pPr>
              <w:jc w:val="center"/>
              <w:rPr>
                <w:kern w:val="0"/>
              </w:rPr>
            </w:pPr>
            <w:r>
              <w:rPr>
                <w:rFonts w:hint="eastAsia"/>
                <w:kern w:val="0"/>
              </w:rPr>
              <w:t>评价人员</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5211D890">
            <w:pPr>
              <w:jc w:val="center"/>
              <w:rPr>
                <w:kern w:val="0"/>
              </w:rPr>
            </w:pPr>
            <w:r>
              <w:rPr>
                <w:rFonts w:hint="eastAsia"/>
                <w:kern w:val="0"/>
              </w:rPr>
              <w:t>姓</w:t>
            </w:r>
            <w:r>
              <w:rPr>
                <w:kern w:val="0"/>
              </w:rPr>
              <w:t xml:space="preserve">  </w:t>
            </w:r>
            <w:r>
              <w:rPr>
                <w:rFonts w:hint="eastAsia"/>
                <w:kern w:val="0"/>
              </w:rPr>
              <w:t>名</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9927590">
            <w:pPr>
              <w:jc w:val="center"/>
              <w:rPr>
                <w:kern w:val="0"/>
              </w:rPr>
            </w:pPr>
            <w:r>
              <w:rPr>
                <w:rFonts w:hint="eastAsia"/>
                <w:kern w:val="0"/>
              </w:rPr>
              <w:t>备注</w:t>
            </w:r>
          </w:p>
        </w:tc>
      </w:tr>
      <w:tr w14:paraId="17C3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14:paraId="2D6CB02F">
            <w:pPr>
              <w:jc w:val="center"/>
              <w:rPr>
                <w:kern w:val="0"/>
              </w:rPr>
            </w:pPr>
            <w:r>
              <w:rPr>
                <w:rFonts w:hint="eastAsia"/>
                <w:kern w:val="0"/>
              </w:rPr>
              <w:t>项目负责人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66D5A8D6">
            <w:pPr>
              <w:jc w:val="center"/>
              <w:rPr>
                <w:rFonts w:hint="eastAsia" w:eastAsia="宋体"/>
                <w:kern w:val="0"/>
                <w:lang w:val="en-US" w:eastAsia="zh-CN"/>
              </w:rPr>
            </w:pPr>
            <w:r>
              <w:rPr>
                <w:rFonts w:hint="eastAsia"/>
                <w:kern w:val="0"/>
                <w:lang w:val="en-US" w:eastAsia="zh-CN"/>
              </w:rPr>
              <w:t>马琳琳</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B7B2F8E">
            <w:pPr>
              <w:jc w:val="center"/>
              <w:rPr>
                <w:kern w:val="0"/>
              </w:rPr>
            </w:pPr>
          </w:p>
        </w:tc>
      </w:tr>
      <w:tr w14:paraId="4963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5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7EAB87E">
            <w:pPr>
              <w:jc w:val="center"/>
              <w:rPr>
                <w:kern w:val="0"/>
              </w:rPr>
            </w:pPr>
            <w:r>
              <w:rPr>
                <w:rFonts w:hint="eastAsia"/>
                <w:kern w:val="0"/>
              </w:rPr>
              <w:t>项目组成员</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57E84F1A">
            <w:pPr>
              <w:jc w:val="center"/>
              <w:rPr>
                <w:rFonts w:hint="eastAsia" w:eastAsia="宋体"/>
                <w:kern w:val="0"/>
                <w:lang w:val="en-US" w:eastAsia="zh-CN"/>
              </w:rPr>
            </w:pPr>
            <w:r>
              <w:rPr>
                <w:rFonts w:hint="eastAsia"/>
                <w:kern w:val="0"/>
                <w:lang w:val="en-US" w:eastAsia="zh-CN"/>
              </w:rPr>
              <w:t>王静</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2EF91E0A">
            <w:pPr>
              <w:jc w:val="center"/>
              <w:rPr>
                <w:kern w:val="0"/>
              </w:rPr>
            </w:pPr>
          </w:p>
        </w:tc>
      </w:tr>
      <w:tr w14:paraId="22A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6801720F">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20EF999A">
            <w:pPr>
              <w:jc w:val="center"/>
              <w:rPr>
                <w:rFonts w:hint="default" w:eastAsia="宋体"/>
                <w:kern w:val="0"/>
                <w:lang w:val="en-US" w:eastAsia="zh-CN"/>
              </w:rPr>
            </w:pPr>
            <w:r>
              <w:rPr>
                <w:rFonts w:hint="eastAsia"/>
                <w:kern w:val="0"/>
                <w:lang w:val="en-US" w:eastAsia="zh-CN"/>
              </w:rPr>
              <w:t>刘卫国</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3847D75">
            <w:pPr>
              <w:jc w:val="center"/>
              <w:rPr>
                <w:kern w:val="0"/>
              </w:rPr>
            </w:pPr>
          </w:p>
        </w:tc>
      </w:tr>
      <w:tr w14:paraId="6D2C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1CEB53BB">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0C5E024C">
            <w:pPr>
              <w:widowControl/>
              <w:jc w:val="center"/>
              <w:rPr>
                <w:rFonts w:hint="eastAsia" w:eastAsia="宋体"/>
                <w:kern w:val="0"/>
                <w:lang w:val="en-US" w:eastAsia="zh-CN"/>
              </w:rPr>
            </w:pPr>
            <w:r>
              <w:rPr>
                <w:rFonts w:hint="eastAsia"/>
                <w:kern w:val="0"/>
                <w:lang w:val="en-US" w:eastAsia="zh-CN"/>
              </w:rPr>
              <w:t>刘振忠</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0EE0360A">
            <w:pPr>
              <w:jc w:val="center"/>
              <w:rPr>
                <w:kern w:val="0"/>
              </w:rPr>
            </w:pPr>
          </w:p>
        </w:tc>
      </w:tr>
      <w:tr w14:paraId="3EEC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11DA4953">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771AF48B">
            <w:pPr>
              <w:widowControl/>
              <w:jc w:val="center"/>
              <w:rPr>
                <w:rFonts w:hint="default" w:eastAsia="宋体"/>
                <w:kern w:val="0"/>
                <w:lang w:val="en-US" w:eastAsia="zh-CN"/>
              </w:rPr>
            </w:pPr>
            <w:r>
              <w:rPr>
                <w:rFonts w:hint="eastAsia"/>
                <w:kern w:val="0"/>
                <w:lang w:val="en-US" w:eastAsia="zh-CN"/>
              </w:rPr>
              <w:t>郝大平</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80B4E7E">
            <w:pPr>
              <w:jc w:val="center"/>
              <w:rPr>
                <w:kern w:val="0"/>
              </w:rPr>
            </w:pPr>
          </w:p>
        </w:tc>
      </w:tr>
      <w:tr w14:paraId="244D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70C40022">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7193BCFA">
            <w:pPr>
              <w:jc w:val="center"/>
              <w:rPr>
                <w:kern w:val="0"/>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8E028BC">
            <w:pPr>
              <w:jc w:val="center"/>
              <w:rPr>
                <w:kern w:val="0"/>
              </w:rPr>
            </w:pPr>
          </w:p>
        </w:tc>
      </w:tr>
      <w:tr w14:paraId="42F6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7E044A72">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474F159C">
            <w:pPr>
              <w:jc w:val="center"/>
              <w:rPr>
                <w:kern w:val="0"/>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C3FD87E">
            <w:pPr>
              <w:jc w:val="center"/>
              <w:rPr>
                <w:kern w:val="0"/>
              </w:rPr>
            </w:pPr>
          </w:p>
        </w:tc>
      </w:tr>
      <w:tr w14:paraId="087D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14:paraId="1EDB5DDC">
            <w:pPr>
              <w:jc w:val="center"/>
              <w:rPr>
                <w:kern w:val="0"/>
              </w:rPr>
            </w:pPr>
            <w:r>
              <w:rPr>
                <w:rFonts w:hint="eastAsia"/>
                <w:kern w:val="0"/>
              </w:rPr>
              <w:t>报告编制人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1694F0E3">
            <w:pPr>
              <w:jc w:val="center"/>
              <w:rPr>
                <w:rFonts w:hint="eastAsia" w:eastAsia="宋体"/>
                <w:kern w:val="0"/>
                <w:lang w:val="en-US" w:eastAsia="zh-CN"/>
              </w:rPr>
            </w:pPr>
            <w:r>
              <w:rPr>
                <w:rFonts w:hint="eastAsia"/>
                <w:kern w:val="0"/>
                <w:lang w:val="en-US" w:eastAsia="zh-CN"/>
              </w:rPr>
              <w:t>马琳琳</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083C2479">
            <w:pPr>
              <w:jc w:val="center"/>
              <w:rPr>
                <w:kern w:val="0"/>
              </w:rPr>
            </w:pPr>
          </w:p>
        </w:tc>
      </w:tr>
      <w:tr w14:paraId="0AFB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14:paraId="288A4926">
            <w:pPr>
              <w:jc w:val="center"/>
              <w:rPr>
                <w:kern w:val="0"/>
              </w:rPr>
            </w:pPr>
            <w:r>
              <w:rPr>
                <w:rFonts w:hint="eastAsia"/>
                <w:kern w:val="0"/>
              </w:rPr>
              <w:t>报告审核人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52ECABDD">
            <w:pPr>
              <w:widowControl/>
              <w:jc w:val="center"/>
              <w:rPr>
                <w:rFonts w:hint="eastAsia" w:eastAsia="宋体"/>
                <w:kern w:val="0"/>
                <w:lang w:val="en-US" w:eastAsia="zh-CN"/>
              </w:rPr>
            </w:pPr>
            <w:r>
              <w:rPr>
                <w:rFonts w:hint="eastAsia"/>
                <w:kern w:val="0"/>
                <w:lang w:val="en-US" w:eastAsia="zh-CN"/>
              </w:rPr>
              <w:t>崔强</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54E506D">
            <w:pPr>
              <w:jc w:val="center"/>
              <w:rPr>
                <w:kern w:val="0"/>
              </w:rPr>
            </w:pPr>
          </w:p>
        </w:tc>
      </w:tr>
      <w:tr w14:paraId="1F85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14:paraId="284A8C3F">
            <w:pPr>
              <w:jc w:val="center"/>
              <w:rPr>
                <w:kern w:val="0"/>
              </w:rPr>
            </w:pPr>
            <w:r>
              <w:rPr>
                <w:rFonts w:hint="eastAsia"/>
                <w:kern w:val="0"/>
              </w:rPr>
              <w:t>过程控制负责人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6ED1E415">
            <w:pPr>
              <w:jc w:val="center"/>
              <w:rPr>
                <w:rFonts w:hint="eastAsia" w:eastAsia="宋体"/>
                <w:kern w:val="0"/>
                <w:lang w:val="en-US" w:eastAsia="zh-CN"/>
              </w:rPr>
            </w:pPr>
            <w:r>
              <w:rPr>
                <w:rFonts w:hint="eastAsia"/>
                <w:kern w:val="0"/>
                <w:lang w:val="en-US" w:eastAsia="zh-CN"/>
              </w:rPr>
              <w:t>刘云红</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552BCF2F">
            <w:pPr>
              <w:jc w:val="center"/>
              <w:rPr>
                <w:kern w:val="0"/>
              </w:rPr>
            </w:pPr>
          </w:p>
        </w:tc>
      </w:tr>
      <w:tr w14:paraId="7D50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14:paraId="694377F6">
            <w:pPr>
              <w:jc w:val="center"/>
              <w:rPr>
                <w:kern w:val="0"/>
              </w:rPr>
            </w:pPr>
            <w:r>
              <w:rPr>
                <w:rFonts w:hint="eastAsia"/>
                <w:kern w:val="0"/>
              </w:rPr>
              <w:t>技术负责人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17F90693">
            <w:pPr>
              <w:jc w:val="center"/>
              <w:rPr>
                <w:rFonts w:hint="default" w:eastAsia="宋体"/>
                <w:kern w:val="0"/>
                <w:lang w:val="en-US" w:eastAsia="zh-CN"/>
              </w:rPr>
            </w:pPr>
            <w:r>
              <w:rPr>
                <w:rFonts w:hint="eastAsia"/>
                <w:kern w:val="0"/>
                <w:lang w:val="en-US" w:eastAsia="zh-CN"/>
              </w:rPr>
              <w:t>赵云峰</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08B8BF35">
            <w:pPr>
              <w:jc w:val="center"/>
              <w:rPr>
                <w:kern w:val="0"/>
              </w:rPr>
            </w:pPr>
          </w:p>
        </w:tc>
      </w:tr>
      <w:tr w14:paraId="5488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FD4311F">
            <w:pPr>
              <w:jc w:val="center"/>
              <w:rPr>
                <w:kern w:val="0"/>
              </w:rPr>
            </w:pPr>
            <w:r>
              <w:rPr>
                <w:rFonts w:hint="eastAsia"/>
                <w:kern w:val="0"/>
              </w:rPr>
              <w:t>技术专家</w:t>
            </w:r>
          </w:p>
          <w:p w14:paraId="604F121A">
            <w:pPr>
              <w:jc w:val="center"/>
              <w:rPr>
                <w:kern w:val="0"/>
              </w:rPr>
            </w:pPr>
            <w:r>
              <w:rPr>
                <w:rFonts w:hint="eastAsia"/>
                <w:kern w:val="0"/>
              </w:rPr>
              <w:t>或有关技术人员</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07CB9FA8">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E49C116">
            <w:pPr>
              <w:jc w:val="center"/>
              <w:rPr>
                <w:kern w:val="0"/>
              </w:rPr>
            </w:pPr>
          </w:p>
        </w:tc>
      </w:tr>
      <w:tr w14:paraId="3393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2B069416">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33021053">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083C48C">
            <w:pPr>
              <w:jc w:val="center"/>
              <w:rPr>
                <w:kern w:val="0"/>
              </w:rPr>
            </w:pPr>
          </w:p>
        </w:tc>
      </w:tr>
      <w:tr w14:paraId="354C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41E2A704">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27E3E9EB">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B189366">
            <w:pPr>
              <w:jc w:val="center"/>
              <w:rPr>
                <w:kern w:val="0"/>
              </w:rPr>
            </w:pPr>
          </w:p>
        </w:tc>
      </w:tr>
      <w:tr w14:paraId="221C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7266841E">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4C1E80A2">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0B27D57E">
            <w:pPr>
              <w:jc w:val="center"/>
              <w:rPr>
                <w:kern w:val="0"/>
              </w:rPr>
            </w:pPr>
          </w:p>
        </w:tc>
      </w:tr>
      <w:tr w14:paraId="2587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B4F7A2E">
            <w:pPr>
              <w:jc w:val="center"/>
              <w:rPr>
                <w:color w:val="000000"/>
                <w:kern w:val="0"/>
              </w:rPr>
            </w:pPr>
            <w:r>
              <w:rPr>
                <w:rFonts w:hint="eastAsia"/>
                <w:color w:val="000000"/>
                <w:kern w:val="0"/>
              </w:rPr>
              <w:t>到现场开展安全评价工作情况</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44746E6">
            <w:pPr>
              <w:jc w:val="center"/>
              <w:rPr>
                <w:color w:val="000000"/>
                <w:kern w:val="0"/>
                <w:szCs w:val="21"/>
              </w:rPr>
            </w:pPr>
            <w:r>
              <w:rPr>
                <w:rFonts w:hint="eastAsia"/>
                <w:color w:val="000000"/>
                <w:kern w:val="0"/>
                <w:szCs w:val="21"/>
              </w:rPr>
              <w:t>时</w:t>
            </w:r>
            <w:r>
              <w:rPr>
                <w:color w:val="000000"/>
                <w:kern w:val="0"/>
                <w:szCs w:val="21"/>
              </w:rPr>
              <w:t xml:space="preserve">  </w:t>
            </w:r>
            <w:r>
              <w:rPr>
                <w:rFonts w:hint="eastAsia"/>
                <w:color w:val="000000"/>
                <w:kern w:val="0"/>
                <w:szCs w:val="21"/>
              </w:rPr>
              <w:t>间</w:t>
            </w:r>
          </w:p>
        </w:tc>
        <w:tc>
          <w:tcPr>
            <w:tcW w:w="3854" w:type="dxa"/>
            <w:tcBorders>
              <w:top w:val="single" w:color="auto" w:sz="4" w:space="0"/>
              <w:left w:val="single" w:color="auto" w:sz="4" w:space="0"/>
              <w:bottom w:val="single" w:color="auto" w:sz="4" w:space="0"/>
              <w:right w:val="single" w:color="auto" w:sz="4" w:space="0"/>
            </w:tcBorders>
            <w:noWrap w:val="0"/>
            <w:vAlign w:val="center"/>
          </w:tcPr>
          <w:p w14:paraId="7FD4D2E0">
            <w:pPr>
              <w:jc w:val="center"/>
              <w:rPr>
                <w:kern w:val="0"/>
                <w:szCs w:val="21"/>
              </w:rPr>
            </w:pPr>
            <w:r>
              <w:rPr>
                <w:rFonts w:hint="eastAsia"/>
                <w:kern w:val="0"/>
                <w:szCs w:val="21"/>
              </w:rPr>
              <w:t>到现场主要人员</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4A98D250">
            <w:pPr>
              <w:jc w:val="center"/>
              <w:rPr>
                <w:kern w:val="0"/>
              </w:rPr>
            </w:pPr>
            <w:r>
              <w:rPr>
                <w:rFonts w:hint="eastAsia"/>
                <w:kern w:val="0"/>
              </w:rPr>
              <w:t>主要任务</w:t>
            </w:r>
          </w:p>
        </w:tc>
      </w:tr>
      <w:tr w14:paraId="3647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10830226">
            <w:pPr>
              <w:widowControl/>
              <w:jc w:val="left"/>
              <w:rPr>
                <w:color w:val="000000"/>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F16F0F7">
            <w:pPr>
              <w:jc w:val="center"/>
              <w:rPr>
                <w:rFonts w:hint="default" w:eastAsia="宋体"/>
                <w:color w:val="000000"/>
                <w:kern w:val="0"/>
                <w:szCs w:val="21"/>
                <w:lang w:val="en-US" w:eastAsia="zh-CN"/>
              </w:rPr>
            </w:pPr>
            <w:r>
              <w:rPr>
                <w:rFonts w:hint="eastAsia"/>
                <w:color w:val="000000"/>
                <w:kern w:val="0"/>
                <w:szCs w:val="21"/>
                <w:lang w:val="en-US" w:eastAsia="zh-CN"/>
              </w:rPr>
              <w:t>2024.12.28</w:t>
            </w:r>
          </w:p>
        </w:tc>
        <w:tc>
          <w:tcPr>
            <w:tcW w:w="3854" w:type="dxa"/>
            <w:tcBorders>
              <w:top w:val="single" w:color="auto" w:sz="4" w:space="0"/>
              <w:left w:val="single" w:color="auto" w:sz="4" w:space="0"/>
              <w:bottom w:val="single" w:color="auto" w:sz="4" w:space="0"/>
              <w:right w:val="single" w:color="auto" w:sz="4" w:space="0"/>
            </w:tcBorders>
            <w:noWrap w:val="0"/>
            <w:vAlign w:val="center"/>
          </w:tcPr>
          <w:p w14:paraId="60848BA8">
            <w:pPr>
              <w:jc w:val="center"/>
              <w:rPr>
                <w:rFonts w:hint="default" w:ascii="宋体" w:hAnsi="宋体" w:eastAsia="宋体"/>
                <w:color w:val="000000"/>
                <w:kern w:val="0"/>
                <w:szCs w:val="21"/>
                <w:lang w:val="en-US" w:eastAsia="zh-CN"/>
              </w:rPr>
            </w:pPr>
            <w:r>
              <w:rPr>
                <w:rFonts w:hint="eastAsia"/>
                <w:kern w:val="0"/>
                <w:lang w:val="en-US" w:eastAsia="zh-CN"/>
              </w:rPr>
              <w:t>马琳琳 刘卫国</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2E69B40">
            <w:pPr>
              <w:jc w:val="center"/>
              <w:rPr>
                <w:rFonts w:hint="default" w:eastAsia="宋体"/>
                <w:color w:val="000000"/>
                <w:kern w:val="0"/>
                <w:lang w:val="en-US" w:eastAsia="zh-CN"/>
              </w:rPr>
            </w:pPr>
            <w:r>
              <w:rPr>
                <w:rFonts w:hint="eastAsia"/>
                <w:color w:val="000000"/>
                <w:kern w:val="0"/>
                <w:lang w:val="en-US" w:eastAsia="zh-CN"/>
              </w:rPr>
              <w:t>初访</w:t>
            </w:r>
          </w:p>
        </w:tc>
      </w:tr>
      <w:tr w14:paraId="6827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48270CCD">
            <w:pPr>
              <w:widowControl/>
              <w:jc w:val="left"/>
              <w:rPr>
                <w:color w:val="000000"/>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2694D0A">
            <w:pPr>
              <w:jc w:val="center"/>
              <w:rPr>
                <w:rFonts w:hint="default" w:eastAsia="宋体"/>
                <w:color w:val="000000"/>
                <w:kern w:val="0"/>
                <w:szCs w:val="21"/>
                <w:lang w:val="en-US" w:eastAsia="zh-CN"/>
              </w:rPr>
            </w:pPr>
            <w:r>
              <w:rPr>
                <w:rFonts w:hint="eastAsia"/>
                <w:color w:val="000000"/>
                <w:kern w:val="0"/>
                <w:szCs w:val="21"/>
                <w:lang w:val="en-US" w:eastAsia="zh-CN"/>
              </w:rPr>
              <w:t>2024.2.24</w:t>
            </w:r>
          </w:p>
        </w:tc>
        <w:tc>
          <w:tcPr>
            <w:tcW w:w="3854" w:type="dxa"/>
            <w:tcBorders>
              <w:top w:val="single" w:color="auto" w:sz="4" w:space="0"/>
              <w:left w:val="single" w:color="auto" w:sz="4" w:space="0"/>
              <w:bottom w:val="single" w:color="auto" w:sz="4" w:space="0"/>
              <w:right w:val="single" w:color="auto" w:sz="4" w:space="0"/>
            </w:tcBorders>
            <w:noWrap w:val="0"/>
            <w:vAlign w:val="center"/>
          </w:tcPr>
          <w:p w14:paraId="78BE2301">
            <w:pPr>
              <w:jc w:val="center"/>
              <w:rPr>
                <w:rFonts w:hint="default" w:ascii="宋体" w:hAnsi="宋体"/>
                <w:color w:val="000000"/>
                <w:kern w:val="0"/>
                <w:szCs w:val="21"/>
                <w:lang w:val="en-US"/>
              </w:rPr>
            </w:pPr>
            <w:r>
              <w:rPr>
                <w:rFonts w:hint="eastAsia"/>
                <w:kern w:val="0"/>
                <w:lang w:val="en-US" w:eastAsia="zh-CN"/>
              </w:rPr>
              <w:t xml:space="preserve">马琳琳 </w:t>
            </w:r>
            <w:r>
              <w:rPr>
                <w:rFonts w:hint="eastAsia" w:asciiTheme="minorHAnsi" w:eastAsiaTheme="minorEastAsia"/>
                <w:kern w:val="0"/>
                <w:lang w:val="en-US" w:eastAsia="zh-CN"/>
              </w:rPr>
              <w:t>王静</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74CFAEF7">
            <w:pPr>
              <w:jc w:val="center"/>
              <w:rPr>
                <w:rFonts w:hint="eastAsia" w:eastAsia="宋体"/>
                <w:color w:val="000000"/>
                <w:kern w:val="0"/>
                <w:lang w:val="en-US" w:eastAsia="zh-CN"/>
              </w:rPr>
            </w:pPr>
            <w:r>
              <w:rPr>
                <w:rFonts w:hint="eastAsia"/>
                <w:color w:val="000000"/>
                <w:kern w:val="0"/>
                <w:lang w:val="en-US" w:eastAsia="zh-CN"/>
              </w:rPr>
              <w:t>考察</w:t>
            </w:r>
          </w:p>
        </w:tc>
      </w:tr>
      <w:tr w14:paraId="6784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6E5C9281">
            <w:pPr>
              <w:widowControl/>
              <w:jc w:val="left"/>
              <w:rPr>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9DF555F">
            <w:pPr>
              <w:jc w:val="center"/>
              <w:rPr>
                <w:rFonts w:hint="default" w:eastAsia="宋体"/>
                <w:color w:val="000000"/>
                <w:kern w:val="0"/>
                <w:szCs w:val="21"/>
                <w:lang w:val="en-US" w:eastAsia="zh-CN"/>
              </w:rPr>
            </w:pPr>
            <w:r>
              <w:rPr>
                <w:rFonts w:hint="eastAsia"/>
                <w:color w:val="000000"/>
                <w:kern w:val="0"/>
                <w:szCs w:val="21"/>
                <w:lang w:val="en-US" w:eastAsia="zh-CN"/>
              </w:rPr>
              <w:t>2024.2.26</w:t>
            </w:r>
          </w:p>
        </w:tc>
        <w:tc>
          <w:tcPr>
            <w:tcW w:w="3854" w:type="dxa"/>
            <w:tcBorders>
              <w:top w:val="single" w:color="auto" w:sz="4" w:space="0"/>
              <w:left w:val="single" w:color="auto" w:sz="4" w:space="0"/>
              <w:bottom w:val="single" w:color="auto" w:sz="4" w:space="0"/>
              <w:right w:val="single" w:color="auto" w:sz="4" w:space="0"/>
            </w:tcBorders>
            <w:noWrap w:val="0"/>
            <w:vAlign w:val="center"/>
          </w:tcPr>
          <w:p w14:paraId="1769D89E">
            <w:pPr>
              <w:jc w:val="center"/>
              <w:rPr>
                <w:rFonts w:hint="eastAsia"/>
                <w:color w:val="000000"/>
                <w:szCs w:val="21"/>
              </w:rPr>
            </w:pPr>
            <w:r>
              <w:rPr>
                <w:rFonts w:hint="eastAsia"/>
                <w:kern w:val="0"/>
                <w:lang w:val="en-US" w:eastAsia="zh-CN"/>
              </w:rPr>
              <w:t xml:space="preserve">马琳琳 </w:t>
            </w:r>
            <w:r>
              <w:rPr>
                <w:rFonts w:hint="eastAsia" w:asciiTheme="minorHAnsi" w:eastAsiaTheme="minorEastAsia"/>
                <w:kern w:val="0"/>
                <w:lang w:val="en-US" w:eastAsia="zh-CN"/>
              </w:rPr>
              <w:t>王静</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27FAF7B1">
            <w:pPr>
              <w:jc w:val="center"/>
              <w:rPr>
                <w:rFonts w:hint="eastAsia" w:eastAsia="宋体"/>
                <w:color w:val="000000"/>
                <w:kern w:val="0"/>
                <w:lang w:val="en-US" w:eastAsia="zh-CN"/>
              </w:rPr>
            </w:pPr>
            <w:r>
              <w:rPr>
                <w:rFonts w:hint="eastAsia"/>
                <w:color w:val="000000"/>
                <w:kern w:val="0"/>
                <w:lang w:val="en-US" w:eastAsia="zh-CN"/>
              </w:rPr>
              <w:t>检查</w:t>
            </w:r>
          </w:p>
        </w:tc>
      </w:tr>
      <w:tr w14:paraId="1959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04EC66DB">
            <w:pPr>
              <w:widowControl/>
              <w:jc w:val="left"/>
              <w:rPr>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9A4CCAE">
            <w:pPr>
              <w:jc w:val="center"/>
              <w:rPr>
                <w:rFonts w:hint="default" w:ascii="Times New Roman" w:hAnsi="Times New Roman" w:eastAsia="宋体" w:cs="Times New Roman"/>
                <w:color w:val="000000"/>
                <w:kern w:val="0"/>
                <w:sz w:val="21"/>
                <w:szCs w:val="21"/>
                <w:lang w:val="en-US" w:eastAsia="zh-CN" w:bidi="ar-SA"/>
              </w:rPr>
            </w:pPr>
          </w:p>
        </w:tc>
        <w:tc>
          <w:tcPr>
            <w:tcW w:w="3854" w:type="dxa"/>
            <w:tcBorders>
              <w:top w:val="single" w:color="auto" w:sz="4" w:space="0"/>
              <w:left w:val="single" w:color="auto" w:sz="4" w:space="0"/>
              <w:bottom w:val="single" w:color="auto" w:sz="4" w:space="0"/>
              <w:right w:val="single" w:color="auto" w:sz="4" w:space="0"/>
            </w:tcBorders>
            <w:noWrap w:val="0"/>
            <w:vAlign w:val="center"/>
          </w:tcPr>
          <w:p w14:paraId="603120E3">
            <w:pPr>
              <w:jc w:val="center"/>
              <w:rPr>
                <w:rFonts w:hint="eastAsia" w:ascii="Times New Roman" w:hAnsi="Times New Roman" w:eastAsia="宋体" w:cs="Times New Roman"/>
                <w:color w:val="000000"/>
                <w:kern w:val="2"/>
                <w:sz w:val="21"/>
                <w:szCs w:val="21"/>
                <w:lang w:val="en-US" w:eastAsia="zh-CN" w:bidi="ar-SA"/>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483B80E2">
            <w:pPr>
              <w:jc w:val="center"/>
              <w:rPr>
                <w:rFonts w:hint="eastAsia" w:ascii="Times New Roman" w:hAnsi="Times New Roman" w:eastAsia="宋体" w:cs="Times New Roman"/>
                <w:color w:val="000000"/>
                <w:kern w:val="0"/>
                <w:sz w:val="21"/>
                <w:szCs w:val="24"/>
                <w:lang w:val="en-US" w:eastAsia="zh-CN" w:bidi="ar-SA"/>
              </w:rPr>
            </w:pPr>
          </w:p>
        </w:tc>
      </w:tr>
      <w:tr w14:paraId="061B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939" w:type="dxa"/>
            <w:gridSpan w:val="5"/>
            <w:tcBorders>
              <w:top w:val="single" w:color="auto" w:sz="4" w:space="0"/>
              <w:left w:val="single" w:color="auto" w:sz="4" w:space="0"/>
              <w:bottom w:val="single" w:color="auto" w:sz="4" w:space="0"/>
              <w:right w:val="single" w:color="auto" w:sz="4" w:space="0"/>
            </w:tcBorders>
            <w:noWrap w:val="0"/>
            <w:vAlign w:val="center"/>
          </w:tcPr>
          <w:p w14:paraId="4ACD7054">
            <w:pPr>
              <w:rPr>
                <w:rFonts w:hint="default" w:eastAsia="宋体"/>
                <w:color w:val="000000"/>
                <w:kern w:val="0"/>
                <w:lang w:val="en-US" w:eastAsia="zh-CN"/>
              </w:rPr>
            </w:pPr>
            <w:r>
              <w:rPr>
                <w:rFonts w:hint="eastAsia"/>
                <w:color w:val="000000"/>
                <w:kern w:val="0"/>
              </w:rPr>
              <w:t>安全评价报告提交时间：</w:t>
            </w:r>
            <w:r>
              <w:rPr>
                <w:rFonts w:hint="eastAsia"/>
                <w:color w:val="000000"/>
                <w:kern w:val="0"/>
                <w:lang w:val="en-US" w:eastAsia="zh-CN"/>
              </w:rPr>
              <w:t>2024年4月10日</w:t>
            </w:r>
          </w:p>
        </w:tc>
      </w:tr>
      <w:tr w14:paraId="0189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39" w:type="dxa"/>
            <w:gridSpan w:val="5"/>
            <w:tcBorders>
              <w:top w:val="single" w:color="auto" w:sz="4" w:space="0"/>
              <w:left w:val="single" w:color="auto" w:sz="4" w:space="0"/>
              <w:bottom w:val="single" w:color="auto" w:sz="4" w:space="0"/>
              <w:right w:val="single" w:color="auto" w:sz="4" w:space="0"/>
            </w:tcBorders>
            <w:noWrap w:val="0"/>
            <w:vAlign w:val="center"/>
          </w:tcPr>
          <w:p w14:paraId="697369BC">
            <w:pPr>
              <w:jc w:val="left"/>
              <w:rPr>
                <w:kern w:val="0"/>
              </w:rPr>
            </w:pPr>
            <w:r>
              <w:rPr>
                <w:rFonts w:hint="eastAsia"/>
                <w:kern w:val="0"/>
              </w:rPr>
              <w:t>有必要公开的其它内容：</w:t>
            </w:r>
          </w:p>
        </w:tc>
      </w:tr>
    </w:tbl>
    <w:p w14:paraId="3A160B7A">
      <w:pPr>
        <w:pStyle w:val="8"/>
      </w:pPr>
    </w:p>
    <w:p w14:paraId="613D7C92">
      <w:pPr>
        <w:pStyle w:val="8"/>
      </w:pPr>
    </w:p>
    <w:p w14:paraId="0A7C7CC0">
      <w:pPr>
        <w:tabs>
          <w:tab w:val="left" w:pos="735"/>
        </w:tabs>
        <w:jc w:val="both"/>
      </w:pPr>
    </w:p>
    <w:p w14:paraId="21FB320D">
      <w:pPr>
        <w:tabs>
          <w:tab w:val="left" w:pos="735"/>
        </w:tabs>
        <w:jc w:val="center"/>
      </w:pPr>
      <w:r>
        <w:rPr>
          <w:rFonts w:hint="eastAsia" w:ascii="Calibri" w:hAnsi="Calibri" w:eastAsia="楷体_GB2312"/>
          <w:b/>
          <w:color w:val="auto"/>
          <w:kern w:val="0"/>
          <w:sz w:val="32"/>
          <w:szCs w:val="20"/>
          <w:lang w:val="en-US" w:eastAsia="zh-CN"/>
        </w:rPr>
        <w:drawing>
          <wp:inline distT="0" distB="0" distL="114300" distR="114300">
            <wp:extent cx="5154295" cy="3815715"/>
            <wp:effectExtent l="0" t="0" r="1905" b="6985"/>
            <wp:docPr id="1" name="图片 1" descr="人员合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人员合照"/>
                    <pic:cNvPicPr>
                      <a:picLocks noChangeAspect="1"/>
                    </pic:cNvPicPr>
                  </pic:nvPicPr>
                  <pic:blipFill>
                    <a:blip r:embed="rId4"/>
                    <a:srcRect/>
                    <a:stretch>
                      <a:fillRect/>
                    </a:stretch>
                  </pic:blipFill>
                  <pic:spPr>
                    <a:xfrm>
                      <a:off x="0" y="0"/>
                      <a:ext cx="5154295" cy="3815715"/>
                    </a:xfrm>
                    <a:prstGeom prst="rect">
                      <a:avLst/>
                    </a:prstGeom>
                  </pic:spPr>
                </pic:pic>
              </a:graphicData>
            </a:graphic>
          </wp:inline>
        </w:drawing>
      </w:r>
    </w:p>
    <w:p w14:paraId="0503F0D5">
      <w:pPr>
        <w:tabs>
          <w:tab w:val="left" w:pos="735"/>
        </w:tabs>
        <w:jc w:val="center"/>
        <w:rPr>
          <w:rFonts w:hint="eastAsia" w:eastAsia="宋体"/>
          <w:lang w:eastAsia="zh-CN"/>
        </w:rPr>
      </w:pPr>
    </w:p>
    <w:p w14:paraId="6D812833">
      <w:pPr>
        <w:jc w:val="center"/>
        <w:rPr>
          <w:rFonts w:hint="eastAsia" w:eastAsia="宋体"/>
          <w:lang w:eastAsia="zh-CN"/>
        </w:rPr>
      </w:pPr>
    </w:p>
    <w:p w14:paraId="1C4D2544">
      <w:pPr>
        <w:rPr>
          <w:rFonts w:hint="eastAsia" w:ascii="Calibri" w:hAnsi="Calibri" w:eastAsia="楷体_GB2312"/>
          <w:b/>
          <w:color w:val="auto"/>
          <w:kern w:val="0"/>
          <w:sz w:val="32"/>
          <w:szCs w:val="20"/>
          <w:lang w:val="en-US" w:eastAsia="zh-CN"/>
        </w:rPr>
      </w:pPr>
      <w:bookmarkStart w:id="0" w:name="_Toc102633970"/>
      <w:bookmarkStart w:id="1" w:name="_Toc102634396"/>
      <w:bookmarkStart w:id="2" w:name="_Toc30066"/>
      <w:bookmarkStart w:id="3" w:name="_Toc272364524"/>
      <w:bookmarkStart w:id="4" w:name="_Toc102634227"/>
      <w:bookmarkStart w:id="5" w:name="_Toc15033743"/>
      <w:bookmarkStart w:id="6" w:name="_Toc26504"/>
      <w:bookmarkStart w:id="7" w:name="_Toc208733856"/>
      <w:bookmarkStart w:id="8" w:name="_Toc102633896"/>
      <w:r>
        <w:rPr>
          <w:rFonts w:hint="eastAsia" w:ascii="Calibri" w:hAnsi="Calibri" w:eastAsia="楷体_GB2312"/>
          <w:b/>
          <w:color w:val="auto"/>
          <w:kern w:val="0"/>
          <w:sz w:val="32"/>
          <w:szCs w:val="20"/>
          <w:lang w:val="en-US" w:eastAsia="zh-CN"/>
        </w:rPr>
        <w:drawing>
          <wp:inline distT="0" distB="0" distL="114300" distR="114300">
            <wp:extent cx="5128260" cy="3760470"/>
            <wp:effectExtent l="0" t="0" r="2540" b="11430"/>
            <wp:docPr id="2" name="图片 2" descr="人员合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人员合照"/>
                    <pic:cNvPicPr>
                      <a:picLocks noChangeAspect="1"/>
                    </pic:cNvPicPr>
                  </pic:nvPicPr>
                  <pic:blipFill>
                    <a:blip r:embed="rId5"/>
                    <a:srcRect/>
                    <a:stretch>
                      <a:fillRect/>
                    </a:stretch>
                  </pic:blipFill>
                  <pic:spPr>
                    <a:xfrm>
                      <a:off x="0" y="0"/>
                      <a:ext cx="5128260" cy="3760470"/>
                    </a:xfrm>
                    <a:prstGeom prst="rect">
                      <a:avLst/>
                    </a:prstGeom>
                  </pic:spPr>
                </pic:pic>
              </a:graphicData>
            </a:graphic>
          </wp:inline>
        </w:drawing>
      </w:r>
      <w:r>
        <w:rPr>
          <w:rFonts w:hint="eastAsia" w:ascii="Calibri" w:hAnsi="Calibri" w:eastAsia="楷体_GB2312"/>
          <w:b/>
          <w:color w:val="auto"/>
          <w:kern w:val="0"/>
          <w:sz w:val="32"/>
          <w:szCs w:val="20"/>
          <w:lang w:val="en-US" w:eastAsia="zh-CN"/>
        </w:rPr>
        <w:br w:type="page"/>
      </w:r>
    </w:p>
    <w:p w14:paraId="2EA255AD">
      <w:pPr>
        <w:snapToGrid w:val="0"/>
        <w:spacing w:line="360" w:lineRule="auto"/>
        <w:jc w:val="center"/>
        <w:outlineLvl w:val="1"/>
        <w:rPr>
          <w:rFonts w:ascii="Calibri" w:hAnsi="Calibri" w:eastAsia="楷体_GB2312"/>
          <w:b/>
          <w:color w:val="auto"/>
          <w:kern w:val="0"/>
          <w:sz w:val="32"/>
          <w:szCs w:val="20"/>
        </w:rPr>
      </w:pPr>
      <w:r>
        <w:rPr>
          <w:rFonts w:hint="eastAsia" w:ascii="Calibri" w:hAnsi="Calibri" w:eastAsia="楷体_GB2312"/>
          <w:b/>
          <w:color w:val="auto"/>
          <w:kern w:val="0"/>
          <w:sz w:val="32"/>
          <w:szCs w:val="20"/>
          <w:lang w:val="en-US" w:eastAsia="zh-CN"/>
        </w:rPr>
        <w:t>一、</w:t>
      </w:r>
      <w:r>
        <w:rPr>
          <w:rFonts w:ascii="Calibri" w:hAnsi="Calibri" w:eastAsia="楷体_GB2312"/>
          <w:b/>
          <w:color w:val="auto"/>
          <w:kern w:val="0"/>
          <w:sz w:val="32"/>
          <w:szCs w:val="20"/>
        </w:rPr>
        <w:t xml:space="preserve"> 加油站基本情况</w:t>
      </w:r>
      <w:bookmarkEnd w:id="0"/>
      <w:bookmarkEnd w:id="1"/>
      <w:bookmarkEnd w:id="2"/>
      <w:bookmarkEnd w:id="3"/>
      <w:bookmarkEnd w:id="4"/>
      <w:bookmarkEnd w:id="5"/>
      <w:bookmarkEnd w:id="6"/>
      <w:bookmarkEnd w:id="7"/>
      <w:bookmarkEnd w:id="8"/>
    </w:p>
    <w:p w14:paraId="2E54F6FE">
      <w:pPr>
        <w:adjustRightInd w:val="0"/>
        <w:snapToGrid w:val="0"/>
        <w:spacing w:line="360" w:lineRule="auto"/>
        <w:ind w:firstLine="560" w:firstLineChars="200"/>
        <w:rPr>
          <w:rFonts w:ascii="宋体" w:hAnsi="Times New Roman"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 w:val="28"/>
          <w:szCs w:val="21"/>
          <w14:textFill>
            <w14:solidFill>
              <w14:schemeClr w14:val="tx1"/>
            </w14:solidFill>
          </w14:textFill>
        </w:rPr>
        <w:t>中国石化山东泰山石油股份有限公司</w:t>
      </w:r>
      <w:r>
        <w:rPr>
          <w:rFonts w:hint="eastAsia" w:ascii="宋体" w:hAnsi="宋体" w:eastAsia="宋体" w:cs="Times New Roman"/>
          <w:color w:val="000000" w:themeColor="text1"/>
          <w:sz w:val="28"/>
          <w:szCs w:val="21"/>
          <w:lang w:eastAsia="zh-CN"/>
          <w14:textFill>
            <w14:solidFill>
              <w14:schemeClr w14:val="tx1"/>
            </w14:solidFill>
          </w14:textFill>
        </w:rPr>
        <w:t>泰安第二十七加油站</w:t>
      </w:r>
      <w:r>
        <w:rPr>
          <w:rFonts w:hint="eastAsia" w:ascii="宋体" w:hAnsi="宋体" w:eastAsia="宋体" w:cs="Times New Roman"/>
          <w:color w:val="000000" w:themeColor="text1"/>
          <w:sz w:val="28"/>
          <w:szCs w:val="21"/>
          <w14:textFill>
            <w14:solidFill>
              <w14:schemeClr w14:val="tx1"/>
            </w14:solidFill>
          </w14:textFill>
        </w:rPr>
        <w:t>位于</w:t>
      </w:r>
      <w:r>
        <w:rPr>
          <w:rFonts w:hint="eastAsia" w:ascii="宋体" w:hAnsi="宋体" w:eastAsia="宋体" w:cs="Times New Roman"/>
          <w:color w:val="000000" w:themeColor="text1"/>
          <w:sz w:val="28"/>
          <w:szCs w:val="21"/>
          <w:lang w:eastAsia="zh-CN"/>
          <w14:textFill>
            <w14:solidFill>
              <w14:schemeClr w14:val="tx1"/>
            </w14:solidFill>
          </w14:textFill>
        </w:rPr>
        <w:t>泰安市黄沟港村委北500米处老泰莱路路南</w:t>
      </w:r>
      <w:r>
        <w:rPr>
          <w:rFonts w:hint="eastAsia" w:ascii="宋体" w:hAnsi="宋体" w:eastAsia="宋体" w:cs="Times New Roman"/>
          <w:color w:val="000000" w:themeColor="text1"/>
          <w:sz w:val="28"/>
          <w:szCs w:val="21"/>
          <w14:textFill>
            <w14:solidFill>
              <w14:schemeClr w14:val="tx1"/>
            </w14:solidFill>
          </w14:textFill>
        </w:rPr>
        <w:t>。该站</w:t>
      </w:r>
      <w:r>
        <w:rPr>
          <w:rFonts w:hint="eastAsia" w:ascii="宋体" w:hAnsi="宋体" w:eastAsia="宋体" w:cs="Times New Roman"/>
          <w:color w:val="000000" w:themeColor="text1"/>
          <w:sz w:val="28"/>
          <w:szCs w:val="21"/>
          <w:lang w:eastAsia="zh-CN"/>
          <w14:textFill>
            <w14:solidFill>
              <w14:schemeClr w14:val="tx1"/>
            </w14:solidFill>
          </w14:textFill>
        </w:rPr>
        <w:t>北侧是G341国道（老泰莱路）和架空电力线，东侧是民房，西侧是民房和架空电力线，南侧是空地（树林）。</w:t>
      </w:r>
      <w:r>
        <w:rPr>
          <w:rFonts w:hint="eastAsia" w:ascii="宋体" w:hAnsi="宋体" w:eastAsia="宋体" w:cs="Times New Roman"/>
          <w:color w:val="000000" w:themeColor="text1"/>
          <w:sz w:val="28"/>
          <w:szCs w:val="21"/>
          <w14:textFill>
            <w14:solidFill>
              <w14:schemeClr w14:val="tx1"/>
            </w14:solidFill>
          </w14:textFill>
        </w:rPr>
        <w:t>该站经营许可范围为汽油、乙醇汽油、柴油，现其主要经营汽油、乙醇汽油、柴油</w:t>
      </w:r>
      <w:r>
        <w:rPr>
          <w:rFonts w:hint="eastAsia" w:ascii="宋体" w:hAnsi="宋体" w:eastAsia="宋体" w:cs="Times New Roman"/>
          <w:snapToGrid w:val="0"/>
          <w:color w:val="000000" w:themeColor="text1"/>
          <w:kern w:val="0"/>
          <w:sz w:val="28"/>
          <w:szCs w:val="21"/>
          <w14:textFill>
            <w14:solidFill>
              <w14:schemeClr w14:val="tx1"/>
            </w14:solidFill>
          </w14:textFill>
        </w:rPr>
        <w:t>（0#与-10#换季销售）。</w:t>
      </w:r>
      <w:r>
        <w:rPr>
          <w:rFonts w:hint="eastAsia" w:ascii="宋体" w:hAnsi="宋体" w:eastAsia="宋体" w:cs="Times New Roman"/>
          <w:color w:val="000000" w:themeColor="text1"/>
          <w:sz w:val="28"/>
          <w:szCs w:val="21"/>
          <w14:textFill>
            <w14:solidFill>
              <w14:schemeClr w14:val="tx1"/>
            </w14:solidFill>
          </w14:textFill>
        </w:rPr>
        <w:t>此次现状评价报告与三年前报告相比，</w:t>
      </w:r>
      <w:r>
        <w:rPr>
          <w:rFonts w:hint="eastAsia" w:ascii="宋体" w:hAnsi="宋体" w:eastAsia="宋体" w:cs="Times New Roman"/>
          <w:color w:val="000000" w:themeColor="text1"/>
          <w:sz w:val="28"/>
          <w:szCs w:val="21"/>
          <w:lang w:val="en-US" w:eastAsia="zh-CN"/>
          <w14:textFill>
            <w14:solidFill>
              <w14:schemeClr w14:val="tx1"/>
            </w14:solidFill>
          </w14:textFill>
        </w:rPr>
        <w:t>周边环境、总平面布置、主要设备设施、人员无变化</w:t>
      </w:r>
      <w:r>
        <w:rPr>
          <w:rFonts w:hint="eastAsia" w:ascii="宋体" w:hAnsi="宋体" w:eastAsia="宋体" w:cs="Times New Roman"/>
          <w:color w:val="000000" w:themeColor="text1"/>
          <w:sz w:val="28"/>
          <w:szCs w:val="21"/>
          <w14:textFill>
            <w14:solidFill>
              <w14:schemeClr w14:val="tx1"/>
            </w14:solidFill>
          </w14:textFill>
        </w:rPr>
        <w:t>。</w:t>
      </w:r>
    </w:p>
    <w:p w14:paraId="64C768F0">
      <w:pPr>
        <w:widowControl w:val="0"/>
        <w:adjustRightInd w:val="0"/>
        <w:snapToGrid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宋体" w:eastAsia="宋体" w:cs="Times New Roman"/>
          <w:color w:val="000000" w:themeColor="text1"/>
          <w:sz w:val="28"/>
          <w:szCs w:val="28"/>
          <w:lang w:val="en-US" w:eastAsia="zh-CN" w:bidi="ar-SA"/>
          <w14:textFill>
            <w14:solidFill>
              <w14:schemeClr w14:val="tx1"/>
            </w14:solidFill>
          </w14:textFill>
        </w:rPr>
        <w:t>该加油站主要建有站房、油罐区、加油区、辅房。加油区在站房北侧，</w:t>
      </w:r>
      <w:r>
        <w:rPr>
          <w:rFonts w:hint="eastAsia" w:ascii="宋体" w:hAnsi="宋体" w:eastAsia="宋体" w:cs="Times New Roman"/>
          <w:color w:val="000000" w:themeColor="text1"/>
          <w:kern w:val="2"/>
          <w:sz w:val="28"/>
          <w:szCs w:val="21"/>
          <w:lang w:val="en-US" w:eastAsia="zh-CN" w:bidi="ar-SA"/>
          <w14:textFill>
            <w14:solidFill>
              <w14:schemeClr w14:val="tx1"/>
            </w14:solidFill>
          </w14:textFill>
        </w:rPr>
        <w:t>现有2台双枪加油机、2台单枪加油机，均为自吸式</w:t>
      </w:r>
      <w:r>
        <w:rPr>
          <w:rFonts w:hint="eastAsia" w:ascii="宋体" w:hAnsi="Times New Roman" w:eastAsia="宋体" w:cs="Times New Roman"/>
          <w:color w:val="000000" w:themeColor="text1"/>
          <w:sz w:val="28"/>
          <w:lang w:val="en-US" w:eastAsia="zh-CN" w:bidi="ar-SA"/>
          <w14:textFill>
            <w14:solidFill>
              <w14:schemeClr w14:val="tx1"/>
            </w14:solidFill>
          </w14:textFill>
        </w:rPr>
        <w:t>；</w:t>
      </w:r>
      <w:r>
        <w:rPr>
          <w:rFonts w:hint="eastAsia" w:ascii="宋体" w:hAnsi="宋体" w:eastAsia="宋体" w:cs="Times New Roman"/>
          <w:color w:val="000000" w:themeColor="text1"/>
          <w:sz w:val="28"/>
          <w:szCs w:val="28"/>
          <w:lang w:val="en-US" w:eastAsia="zh-CN" w:bidi="ar-SA"/>
          <w14:textFill>
            <w14:solidFill>
              <w14:schemeClr w14:val="tx1"/>
            </w14:solidFill>
          </w14:textFill>
        </w:rPr>
        <w:t>油罐区在站房北侧行车道下，</w:t>
      </w:r>
      <w:r>
        <w:rPr>
          <w:rFonts w:hint="eastAsia" w:ascii="宋体" w:hAnsi="Times New Roman" w:eastAsia="宋体" w:cs="Times New Roman"/>
          <w:color w:val="000000" w:themeColor="text1"/>
          <w:sz w:val="28"/>
          <w:lang w:val="en-US" w:eastAsia="zh-CN" w:bidi="ar-SA"/>
          <w14:textFill>
            <w14:solidFill>
              <w14:schemeClr w14:val="tx1"/>
            </w14:solidFill>
          </w14:textFill>
        </w:rPr>
        <w:t>现有3台30m</w:t>
      </w:r>
      <w:r>
        <w:rPr>
          <w:rFonts w:hint="eastAsia" w:ascii="宋体" w:hAnsi="Times New Roman" w:eastAsia="宋体" w:cs="Times New Roman"/>
          <w:color w:val="000000" w:themeColor="text1"/>
          <w:sz w:val="28"/>
          <w:vertAlign w:val="superscript"/>
          <w:lang w:val="en-US" w:eastAsia="zh-CN" w:bidi="ar-SA"/>
          <w14:textFill>
            <w14:solidFill>
              <w14:schemeClr w14:val="tx1"/>
            </w14:solidFill>
          </w14:textFill>
        </w:rPr>
        <w:t>3</w:t>
      </w:r>
      <w:r>
        <w:rPr>
          <w:rFonts w:hint="eastAsia" w:ascii="宋体" w:hAnsi="Times New Roman" w:eastAsia="宋体" w:cs="Times New Roman"/>
          <w:color w:val="000000" w:themeColor="text1"/>
          <w:sz w:val="28"/>
          <w:lang w:val="en-US" w:eastAsia="zh-CN" w:bidi="ar-SA"/>
          <w14:textFill>
            <w14:solidFill>
              <w14:schemeClr w14:val="tx1"/>
            </w14:solidFill>
          </w14:textFill>
        </w:rPr>
        <w:t>埋地双层储罐（</w:t>
      </w:r>
      <w:r>
        <w:rPr>
          <w:rFonts w:hint="eastAsia" w:ascii="宋体" w:hAnsi="宋体" w:eastAsia="宋体" w:cs="Times New Roman"/>
          <w:color w:val="000000" w:themeColor="text1"/>
          <w:sz w:val="28"/>
          <w:szCs w:val="28"/>
          <w:lang w:val="en-US" w:eastAsia="zh-CN" w:bidi="ar-SA"/>
          <w14:textFill>
            <w14:solidFill>
              <w14:schemeClr w14:val="tx1"/>
            </w14:solidFill>
          </w14:textFill>
        </w:rPr>
        <w:t>包括1</w:t>
      </w:r>
      <w:r>
        <w:rPr>
          <w:rFonts w:hint="eastAsia" w:ascii="宋体" w:hAnsi="Times New Roman" w:eastAsia="宋体" w:cs="Times New Roman"/>
          <w:color w:val="000000" w:themeColor="text1"/>
          <w:sz w:val="28"/>
          <w:lang w:val="en-US" w:eastAsia="zh-CN" w:bidi="ar-SA"/>
          <w14:textFill>
            <w14:solidFill>
              <w14:schemeClr w14:val="tx1"/>
            </w14:solidFill>
          </w14:textFill>
        </w:rPr>
        <w:t>台92#乙醇汽油罐、</w:t>
      </w:r>
      <w:r>
        <w:rPr>
          <w:rFonts w:hint="eastAsia" w:ascii="宋体" w:hAnsi="宋体" w:eastAsia="宋体" w:cs="Times New Roman"/>
          <w:color w:val="000000" w:themeColor="text1"/>
          <w:sz w:val="28"/>
          <w:szCs w:val="28"/>
          <w:lang w:val="en-US" w:eastAsia="zh-CN" w:bidi="ar-SA"/>
          <w14:textFill>
            <w14:solidFill>
              <w14:schemeClr w14:val="tx1"/>
            </w14:solidFill>
          </w14:textFill>
        </w:rPr>
        <w:t>1</w:t>
      </w:r>
      <w:r>
        <w:rPr>
          <w:rFonts w:hint="eastAsia" w:ascii="宋体" w:hAnsi="Times New Roman" w:eastAsia="宋体" w:cs="Times New Roman"/>
          <w:color w:val="000000" w:themeColor="text1"/>
          <w:sz w:val="28"/>
          <w:lang w:val="en-US" w:eastAsia="zh-CN" w:bidi="ar-SA"/>
          <w14:textFill>
            <w14:solidFill>
              <w14:schemeClr w14:val="tx1"/>
            </w14:solidFill>
          </w14:textFill>
        </w:rPr>
        <w:t>台95#汽油罐、1台柴油罐</w:t>
      </w:r>
      <w:r>
        <w:rPr>
          <w:rFonts w:hint="eastAsia" w:ascii="宋体" w:hAnsi="宋体" w:eastAsia="宋体" w:cs="Times New Roman"/>
          <w:color w:val="000000" w:themeColor="text1"/>
          <w:sz w:val="28"/>
          <w:szCs w:val="28"/>
          <w:lang w:val="en-US" w:eastAsia="zh-CN" w:bidi="ar-SA"/>
          <w14:textFill>
            <w14:solidFill>
              <w14:schemeClr w14:val="tx1"/>
            </w14:solidFill>
          </w14:textFill>
        </w:rPr>
        <w:t>），3台油罐均安装了液位仪、检漏仪，</w:t>
      </w:r>
      <w:r>
        <w:rPr>
          <w:rFonts w:hint="eastAsia" w:ascii="宋体" w:hAnsi="Times New Roman" w:eastAsia="宋体" w:cs="Times New Roman"/>
          <w:color w:val="000000" w:themeColor="text1"/>
          <w:sz w:val="28"/>
          <w:lang w:val="en-US" w:eastAsia="zh-CN" w:bidi="ar-SA"/>
          <w14:textFill>
            <w14:solidFill>
              <w14:schemeClr w14:val="tx1"/>
            </w14:solidFill>
          </w14:textFill>
        </w:rPr>
        <w:t>其油罐埋地设置，通气管4根；该站汽油设有卸油油气回收系统、加油油气回收系统；按《汽车加油加气加氢站技术标准》GB50156-2021标准规定：V=75m</w:t>
      </w:r>
      <w:r>
        <w:rPr>
          <w:rFonts w:hint="eastAsia" w:ascii="宋体" w:hAnsi="Times New Roman" w:eastAsia="宋体" w:cs="Times New Roman"/>
          <w:color w:val="000000" w:themeColor="text1"/>
          <w:sz w:val="28"/>
          <w:vertAlign w:val="superscript"/>
          <w:lang w:val="en-US" w:eastAsia="zh-CN" w:bidi="ar-SA"/>
          <w14:textFill>
            <w14:solidFill>
              <w14:schemeClr w14:val="tx1"/>
            </w14:solidFill>
          </w14:textFill>
        </w:rPr>
        <w:t>3</w:t>
      </w:r>
      <w:r>
        <w:rPr>
          <w:rFonts w:hint="eastAsia" w:ascii="宋体" w:hAnsi="Times New Roman" w:eastAsia="宋体" w:cs="Times New Roman"/>
          <w:color w:val="000000" w:themeColor="text1"/>
          <w:sz w:val="28"/>
          <w:lang w:val="en-US" w:eastAsia="zh-CN" w:bidi="ar-SA"/>
          <w14:textFill>
            <w14:solidFill>
              <w14:schemeClr w14:val="tx1"/>
            </w14:solidFill>
          </w14:textFill>
        </w:rPr>
        <w:t>，该站属三级加油站。</w:t>
      </w:r>
    </w:p>
    <w:p w14:paraId="5C08E88A">
      <w:pPr>
        <w:widowControl w:val="0"/>
        <w:adjustRightInd w:val="0"/>
        <w:snapToGrid w:val="0"/>
        <w:spacing w:line="360" w:lineRule="auto"/>
        <w:jc w:val="center"/>
        <w:outlineLvl w:val="9"/>
        <w:rPr>
          <w:rFonts w:ascii="Times New Roman" w:hAnsi="Times New Roman" w:eastAsia="黑体" w:cs="Times New Roman"/>
          <w:color w:val="000000" w:themeColor="text1"/>
          <w:kern w:val="2"/>
          <w:sz w:val="24"/>
          <w:szCs w:val="28"/>
          <w:u w:color="000000"/>
          <w:lang w:val="en-US" w:eastAsia="zh-CN" w:bidi="ar-SA"/>
          <w14:textFill>
            <w14:solidFill>
              <w14:schemeClr w14:val="tx1"/>
            </w14:solidFill>
          </w14:textFill>
        </w:rPr>
      </w:pPr>
      <w:r>
        <w:rPr>
          <w:rFonts w:ascii="Times New Roman" w:hAnsi="Times New Roman" w:eastAsia="黑体" w:cs="Times New Roman"/>
          <w:color w:val="000000" w:themeColor="text1"/>
          <w:kern w:val="2"/>
          <w:sz w:val="24"/>
          <w:szCs w:val="28"/>
          <w:u w:color="000000"/>
          <w:lang w:val="en-US" w:eastAsia="zh-CN" w:bidi="ar-SA"/>
          <w14:textFill>
            <w14:solidFill>
              <w14:schemeClr w14:val="tx1"/>
            </w14:solidFill>
          </w14:textFill>
        </w:rPr>
        <w:t>表</w:t>
      </w:r>
      <w:r>
        <w:rPr>
          <w:rFonts w:ascii="黑体" w:hAnsi="黑体" w:eastAsia="黑体" w:cs="Times New Roman"/>
          <w:color w:val="000000" w:themeColor="text1"/>
          <w:kern w:val="2"/>
          <w:sz w:val="24"/>
          <w:szCs w:val="28"/>
          <w:u w:color="000000"/>
          <w:lang w:val="en-US" w:eastAsia="zh-CN" w:bidi="ar-SA"/>
          <w14:textFill>
            <w14:solidFill>
              <w14:schemeClr w14:val="tx1"/>
            </w14:solidFill>
          </w14:textFill>
        </w:rPr>
        <w:t xml:space="preserve">2.1-1 </w:t>
      </w:r>
      <w:r>
        <w:rPr>
          <w:rFonts w:ascii="Times New Roman" w:hAnsi="Times New Roman" w:eastAsia="黑体" w:cs="Times New Roman"/>
          <w:color w:val="000000" w:themeColor="text1"/>
          <w:kern w:val="2"/>
          <w:sz w:val="24"/>
          <w:szCs w:val="28"/>
          <w:u w:color="000000"/>
          <w:lang w:val="en-US" w:eastAsia="zh-CN" w:bidi="ar-SA"/>
          <w14:textFill>
            <w14:solidFill>
              <w14:schemeClr w14:val="tx1"/>
            </w14:solidFill>
          </w14:textFill>
        </w:rPr>
        <w:t>加油站的等级划分</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33"/>
        <w:gridCol w:w="2841"/>
        <w:gridCol w:w="2848"/>
      </w:tblGrid>
      <w:tr w14:paraId="298F6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7C6F0C86">
            <w:pPr>
              <w:widowControl w:val="0"/>
              <w:spacing w:line="360" w:lineRule="auto"/>
              <w:jc w:val="cente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t>加油站</w:t>
            </w:r>
            <w:r>
              <w:rPr>
                <w:rFonts w:hint="eastAsia" w:ascii="宋体" w:hAnsi="宋体" w:eastAsia="宋体" w:cs="Times New Roman"/>
                <w:b/>
                <w:bCs/>
                <w:color w:val="000000" w:themeColor="text1"/>
                <w:kern w:val="2"/>
                <w:sz w:val="21"/>
                <w:szCs w:val="21"/>
                <w:u w:color="000000"/>
                <w:lang w:val="en-US" w:eastAsia="zh-CN" w:bidi="ar-SA"/>
                <w14:textFill>
                  <w14:solidFill>
                    <w14:schemeClr w14:val="tx1"/>
                  </w14:solidFill>
                </w14:textFill>
              </w:rPr>
              <w:t>等级</w:t>
            </w:r>
          </w:p>
        </w:tc>
        <w:tc>
          <w:tcPr>
            <w:tcW w:w="3338" w:type="pct"/>
            <w:gridSpan w:val="2"/>
            <w:vAlign w:val="center"/>
          </w:tcPr>
          <w:p w14:paraId="6C8C960B">
            <w:pPr>
              <w:widowControl w:val="0"/>
              <w:spacing w:line="360" w:lineRule="auto"/>
              <w:jc w:val="cente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t>加油站油罐容积（m</w:t>
            </w:r>
            <w:r>
              <w:rPr>
                <w:rFonts w:ascii="宋体" w:hAnsi="宋体" w:eastAsia="宋体" w:cs="Times New Roman"/>
                <w:b/>
                <w:bCs/>
                <w:color w:val="000000" w:themeColor="text1"/>
                <w:kern w:val="2"/>
                <w:sz w:val="21"/>
                <w:szCs w:val="21"/>
                <w:u w:color="000000"/>
                <w:vertAlign w:val="superscript"/>
                <w:lang w:val="en-US" w:eastAsia="zh-CN" w:bidi="ar-SA"/>
                <w14:textFill>
                  <w14:solidFill>
                    <w14:schemeClr w14:val="tx1"/>
                  </w14:solidFill>
                </w14:textFill>
              </w:rPr>
              <w:t>3</w:t>
            </w:r>
            <w: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t>）</w:t>
            </w:r>
          </w:p>
        </w:tc>
      </w:tr>
      <w:tr w14:paraId="37C27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37A98F52">
            <w:pPr>
              <w:widowControl w:val="0"/>
              <w:spacing w:line="360" w:lineRule="auto"/>
              <w:jc w:val="cente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pPr>
          </w:p>
        </w:tc>
        <w:tc>
          <w:tcPr>
            <w:tcW w:w="1667" w:type="pct"/>
            <w:vAlign w:val="center"/>
          </w:tcPr>
          <w:p w14:paraId="3E661ABA">
            <w:pPr>
              <w:widowControl w:val="0"/>
              <w:spacing w:line="360" w:lineRule="auto"/>
              <w:jc w:val="cente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t>总容积</w:t>
            </w:r>
            <w:r>
              <w:rPr>
                <w:rFonts w:hint="eastAsia" w:ascii="宋体" w:hAnsi="宋体" w:eastAsia="宋体" w:cs="Times New Roman"/>
                <w:b/>
                <w:bCs/>
                <w:color w:val="000000" w:themeColor="text1"/>
                <w:kern w:val="2"/>
                <w:sz w:val="21"/>
                <w:szCs w:val="21"/>
                <w:u w:color="000000"/>
                <w:lang w:val="en-US" w:eastAsia="zh-CN" w:bidi="ar-SA"/>
                <w14:textFill>
                  <w14:solidFill>
                    <w14:schemeClr w14:val="tx1"/>
                  </w14:solidFill>
                </w14:textFill>
              </w:rPr>
              <w:t>V</w:t>
            </w:r>
          </w:p>
        </w:tc>
        <w:tc>
          <w:tcPr>
            <w:tcW w:w="1671" w:type="pct"/>
            <w:vAlign w:val="center"/>
          </w:tcPr>
          <w:p w14:paraId="4E2FCDD4">
            <w:pPr>
              <w:widowControl w:val="0"/>
              <w:spacing w:line="360" w:lineRule="auto"/>
              <w:jc w:val="cente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t>单罐容积</w:t>
            </w:r>
          </w:p>
        </w:tc>
      </w:tr>
      <w:tr w14:paraId="231CDD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4A73F23">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一级</w:t>
            </w:r>
          </w:p>
        </w:tc>
        <w:tc>
          <w:tcPr>
            <w:tcW w:w="1667" w:type="pct"/>
            <w:vAlign w:val="center"/>
          </w:tcPr>
          <w:p w14:paraId="7A8671F0">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150＜V</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210</w:t>
            </w:r>
          </w:p>
        </w:tc>
        <w:tc>
          <w:tcPr>
            <w:tcW w:w="1671" w:type="pct"/>
            <w:vAlign w:val="center"/>
          </w:tcPr>
          <w:p w14:paraId="62F1BDFA">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50</w:t>
            </w:r>
          </w:p>
        </w:tc>
      </w:tr>
      <w:tr w14:paraId="5A098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86D9E7E">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二级</w:t>
            </w:r>
          </w:p>
        </w:tc>
        <w:tc>
          <w:tcPr>
            <w:tcW w:w="1667" w:type="pct"/>
            <w:vAlign w:val="center"/>
          </w:tcPr>
          <w:p w14:paraId="3176E484">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90</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V</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150</w:t>
            </w:r>
          </w:p>
        </w:tc>
        <w:tc>
          <w:tcPr>
            <w:tcW w:w="1671" w:type="pct"/>
            <w:vAlign w:val="center"/>
          </w:tcPr>
          <w:p w14:paraId="2B40D79A">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50</w:t>
            </w:r>
          </w:p>
        </w:tc>
      </w:tr>
      <w:tr w14:paraId="30EF8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DCAEAA5">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三级</w:t>
            </w:r>
          </w:p>
        </w:tc>
        <w:tc>
          <w:tcPr>
            <w:tcW w:w="1667" w:type="pct"/>
            <w:vAlign w:val="center"/>
          </w:tcPr>
          <w:p w14:paraId="2C9F9727">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V</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90</w:t>
            </w:r>
          </w:p>
        </w:tc>
        <w:tc>
          <w:tcPr>
            <w:tcW w:w="1671" w:type="pct"/>
            <w:vAlign w:val="center"/>
          </w:tcPr>
          <w:p w14:paraId="52E9E707">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汽油罐</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30，柴油罐</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50</w:t>
            </w:r>
          </w:p>
        </w:tc>
      </w:tr>
    </w:tbl>
    <w:p w14:paraId="62107BDA">
      <w:pPr>
        <w:widowControl w:val="0"/>
        <w:spacing w:line="360" w:lineRule="auto"/>
        <w:ind w:firstLine="436" w:firstLineChars="200"/>
        <w:rPr>
          <w:rFonts w:ascii="Times New Roman" w:hAnsi="Times New Roman" w:eastAsia="黑体" w:cs="Times New Roman"/>
          <w:color w:val="000000" w:themeColor="text1"/>
          <w:spacing w:val="4"/>
          <w:kern w:val="2"/>
          <w:sz w:val="21"/>
          <w:szCs w:val="24"/>
          <w:lang w:val="en-US" w:eastAsia="zh-CN" w:bidi="ar-SA"/>
          <w14:textFill>
            <w14:solidFill>
              <w14:schemeClr w14:val="tx1"/>
            </w14:solidFill>
          </w14:textFill>
        </w:rPr>
      </w:pPr>
      <w:r>
        <w:rPr>
          <w:rFonts w:ascii="Times New Roman" w:hAnsi="Times New Roman" w:eastAsia="黑体" w:cs="Times New Roman"/>
          <w:color w:val="000000" w:themeColor="text1"/>
          <w:spacing w:val="4"/>
          <w:kern w:val="2"/>
          <w:sz w:val="21"/>
          <w:szCs w:val="24"/>
          <w:lang w:val="en-US" w:eastAsia="zh-CN" w:bidi="ar-SA"/>
          <w14:textFill>
            <w14:solidFill>
              <w14:schemeClr w14:val="tx1"/>
            </w14:solidFill>
          </w14:textFill>
        </w:rPr>
        <w:t>注：</w:t>
      </w:r>
      <w:r>
        <w:rPr>
          <w:rFonts w:hint="eastAsia" w:ascii="Times New Roman" w:hAnsi="Times New Roman" w:eastAsia="黑体" w:cs="Times New Roman"/>
          <w:color w:val="000000" w:themeColor="text1"/>
          <w:spacing w:val="4"/>
          <w:kern w:val="2"/>
          <w:sz w:val="21"/>
          <w:szCs w:val="24"/>
          <w:lang w:val="en-US" w:eastAsia="zh-CN" w:bidi="ar-SA"/>
          <w14:textFill>
            <w14:solidFill>
              <w14:schemeClr w14:val="tx1"/>
            </w14:solidFill>
          </w14:textFill>
        </w:rPr>
        <w:t>V为油罐总容积。</w:t>
      </w:r>
      <w:r>
        <w:rPr>
          <w:rFonts w:ascii="Times New Roman" w:hAnsi="Times New Roman" w:eastAsia="黑体" w:cs="Times New Roman"/>
          <w:color w:val="000000" w:themeColor="text1"/>
          <w:spacing w:val="4"/>
          <w:kern w:val="2"/>
          <w:sz w:val="21"/>
          <w:szCs w:val="24"/>
          <w:lang w:val="en-US" w:eastAsia="zh-CN" w:bidi="ar-SA"/>
          <w14:textFill>
            <w14:solidFill>
              <w14:schemeClr w14:val="tx1"/>
            </w14:solidFill>
          </w14:textFill>
        </w:rPr>
        <w:t>柴油罐容积可折半计入油罐总容积。</w:t>
      </w:r>
    </w:p>
    <w:p w14:paraId="06DBBB8F">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ascii="宋体" w:hAnsi="Times New Roman" w:eastAsia="宋体" w:cs="Times New Roman"/>
          <w:color w:val="000000" w:themeColor="text1"/>
          <w:sz w:val="28"/>
          <w:lang w:val="en-US" w:eastAsia="zh-CN" w:bidi="ar-SA"/>
          <w14:textFill>
            <w14:solidFill>
              <w14:schemeClr w14:val="tx1"/>
            </w14:solidFill>
          </w14:textFill>
        </w:rPr>
        <w:t>该站现有职工</w:t>
      </w:r>
      <w:r>
        <w:rPr>
          <w:rFonts w:hint="eastAsia" w:ascii="宋体" w:hAnsi="Times New Roman" w:eastAsia="宋体" w:cs="Times New Roman"/>
          <w:color w:val="000000" w:themeColor="text1"/>
          <w:sz w:val="28"/>
          <w:lang w:val="en-US" w:eastAsia="zh-CN" w:bidi="ar-SA"/>
          <w14:textFill>
            <w14:solidFill>
              <w14:schemeClr w14:val="tx1"/>
            </w14:solidFill>
          </w14:textFill>
        </w:rPr>
        <w:t>3人</w:t>
      </w:r>
      <w:r>
        <w:rPr>
          <w:rFonts w:ascii="宋体" w:hAnsi="Times New Roman" w:eastAsia="宋体" w:cs="Times New Roman"/>
          <w:color w:val="000000" w:themeColor="text1"/>
          <w:sz w:val="28"/>
          <w:lang w:val="en-US" w:eastAsia="zh-CN" w:bidi="ar-SA"/>
          <w14:textFill>
            <w14:solidFill>
              <w14:schemeClr w14:val="tx1"/>
            </w14:solidFill>
          </w14:textFill>
        </w:rPr>
        <w:t>，</w:t>
      </w:r>
      <w:r>
        <w:rPr>
          <w:rFonts w:hint="eastAsia" w:ascii="宋体" w:hAnsi="Times New Roman" w:eastAsia="宋体" w:cs="Times New Roman"/>
          <w:color w:val="000000" w:themeColor="text1"/>
          <w:sz w:val="28"/>
          <w:lang w:val="en-US" w:eastAsia="zh-CN" w:bidi="ar-SA"/>
          <w14:textFill>
            <w14:solidFill>
              <w14:schemeClr w14:val="tx1"/>
            </w14:solidFill>
          </w14:textFill>
        </w:rPr>
        <w:t>其中</w:t>
      </w:r>
      <w:r>
        <w:rPr>
          <w:rFonts w:ascii="宋体" w:hAnsi="Times New Roman" w:eastAsia="宋体" w:cs="Times New Roman"/>
          <w:color w:val="000000" w:themeColor="text1"/>
          <w:sz w:val="28"/>
          <w:lang w:val="en-US" w:eastAsia="zh-CN" w:bidi="ar-SA"/>
          <w14:textFill>
            <w14:solidFill>
              <w14:schemeClr w14:val="tx1"/>
            </w14:solidFill>
          </w14:textFill>
        </w:rPr>
        <w:t>主要负责人</w:t>
      </w:r>
      <w:r>
        <w:rPr>
          <w:rFonts w:hint="eastAsia" w:ascii="宋体" w:hAnsi="Times New Roman" w:eastAsia="宋体" w:cs="Times New Roman"/>
          <w:color w:val="000000" w:themeColor="text1"/>
          <w:sz w:val="28"/>
          <w:lang w:val="en-US" w:eastAsia="zh-CN" w:bidi="ar-SA"/>
          <w14:textFill>
            <w14:solidFill>
              <w14:schemeClr w14:val="tx1"/>
            </w14:solidFill>
          </w14:textFill>
        </w:rPr>
        <w:t>1</w:t>
      </w:r>
      <w:r>
        <w:rPr>
          <w:rFonts w:ascii="宋体" w:hAnsi="Times New Roman" w:eastAsia="宋体" w:cs="Times New Roman"/>
          <w:color w:val="000000" w:themeColor="text1"/>
          <w:sz w:val="28"/>
          <w:lang w:val="en-US" w:eastAsia="zh-CN" w:bidi="ar-SA"/>
          <w14:textFill>
            <w14:solidFill>
              <w14:schemeClr w14:val="tx1"/>
            </w14:solidFill>
          </w14:textFill>
        </w:rPr>
        <w:t>人，安全生产管理人员</w:t>
      </w:r>
      <w:r>
        <w:rPr>
          <w:rFonts w:hint="eastAsia" w:ascii="宋体" w:hAnsi="Times New Roman" w:eastAsia="宋体" w:cs="Times New Roman"/>
          <w:color w:val="000000" w:themeColor="text1"/>
          <w:sz w:val="28"/>
          <w:lang w:val="en-US" w:eastAsia="zh-CN" w:bidi="ar-SA"/>
          <w14:textFill>
            <w14:solidFill>
              <w14:schemeClr w14:val="tx1"/>
            </w14:solidFill>
          </w14:textFill>
        </w:rPr>
        <w:t>1人。主要负责人和安全生产管理人员已参加了危险化学品安全管理培训，并取得考核合格证，</w:t>
      </w:r>
      <w:r>
        <w:rPr>
          <w:rFonts w:ascii="宋体" w:hAnsi="Times New Roman" w:eastAsia="宋体" w:cs="Times New Roman"/>
          <w:color w:val="000000" w:themeColor="text1"/>
          <w:sz w:val="28"/>
          <w:lang w:val="en-US" w:eastAsia="zh-CN" w:bidi="ar-SA"/>
          <w14:textFill>
            <w14:solidFill>
              <w14:schemeClr w14:val="tx1"/>
            </w14:solidFill>
          </w14:textFill>
        </w:rPr>
        <w:t>详见附件。</w:t>
      </w:r>
    </w:p>
    <w:p w14:paraId="150A672D">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加油站于2001年03月20日取得了泰安市公安消防分局出具的《易燃易爆化学物品消防安全许可证》，编号：公消监[2001]危储字013号，详见附件。</w:t>
      </w:r>
    </w:p>
    <w:p w14:paraId="7B87DC7E">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中国石化山东泰山石油股份有限公司于2020年06月30日与泰安市泰山区邱家店镇黄沟港村村民委员会签订了租赁合同合同有效期至2030年06月29日。详见附件。</w:t>
      </w:r>
    </w:p>
    <w:p w14:paraId="130AFBC2">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加油站于2021年12月24日换发了《危险化学品经营许可证》，证书编号：鲁泰危化经[2019]000105号，证书有效期2021年12月24日至2024年12月23日</w:t>
      </w:r>
      <w:r>
        <w:rPr>
          <w:rFonts w:ascii="宋体" w:hAnsi="Times New Roman" w:eastAsia="宋体" w:cs="Times New Roman"/>
          <w:color w:val="000000" w:themeColor="text1"/>
          <w:sz w:val="28"/>
          <w:lang w:val="en-US" w:eastAsia="zh-CN" w:bidi="ar-SA"/>
          <w14:textFill>
            <w14:solidFill>
              <w14:schemeClr w14:val="tx1"/>
            </w14:solidFill>
          </w14:textFill>
        </w:rPr>
        <w:t>。</w:t>
      </w:r>
      <w:r>
        <w:rPr>
          <w:rFonts w:hint="eastAsia" w:ascii="宋体" w:hAnsi="Times New Roman" w:eastAsia="宋体" w:cs="Times New Roman"/>
          <w:color w:val="000000" w:themeColor="text1"/>
          <w:sz w:val="28"/>
          <w:lang w:val="en-US" w:eastAsia="zh-CN" w:bidi="ar-SA"/>
          <w14:textFill>
            <w14:solidFill>
              <w14:schemeClr w14:val="tx1"/>
            </w14:solidFill>
          </w14:textFill>
        </w:rPr>
        <w:t>证书见附件。</w:t>
      </w:r>
    </w:p>
    <w:p w14:paraId="6A9C61B6">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加油站于</w:t>
      </w:r>
      <w:r>
        <w:rPr>
          <w:rFonts w:ascii="宋体" w:hAnsi="Times New Roman" w:eastAsia="宋体" w:cs="Times New Roman"/>
          <w:color w:val="000000" w:themeColor="text1"/>
          <w:sz w:val="28"/>
          <w:lang w:val="en-US" w:eastAsia="zh-CN" w:bidi="ar-SA"/>
          <w14:textFill>
            <w14:solidFill>
              <w14:schemeClr w14:val="tx1"/>
            </w14:solidFill>
          </w14:textFill>
        </w:rPr>
        <w:t>20</w:t>
      </w:r>
      <w:r>
        <w:rPr>
          <w:rFonts w:hint="eastAsia" w:ascii="宋体" w:hAnsi="Times New Roman" w:eastAsia="宋体" w:cs="Times New Roman"/>
          <w:color w:val="000000" w:themeColor="text1"/>
          <w:sz w:val="28"/>
          <w:lang w:val="en-US" w:eastAsia="zh-CN" w:bidi="ar-SA"/>
          <w14:textFill>
            <w14:solidFill>
              <w14:schemeClr w14:val="tx1"/>
            </w14:solidFill>
          </w14:textFill>
        </w:rPr>
        <w:t>21</w:t>
      </w:r>
      <w:r>
        <w:rPr>
          <w:rFonts w:ascii="宋体" w:hAnsi="Times New Roman" w:eastAsia="宋体" w:cs="Times New Roman"/>
          <w:color w:val="000000" w:themeColor="text1"/>
          <w:sz w:val="28"/>
          <w:lang w:val="en-US" w:eastAsia="zh-CN" w:bidi="ar-SA"/>
          <w14:textFill>
            <w14:solidFill>
              <w14:schemeClr w14:val="tx1"/>
            </w14:solidFill>
          </w14:textFill>
        </w:rPr>
        <w:t>年</w:t>
      </w:r>
      <w:r>
        <w:rPr>
          <w:rFonts w:hint="eastAsia" w:ascii="宋体" w:hAnsi="Times New Roman" w:eastAsia="宋体" w:cs="Times New Roman"/>
          <w:color w:val="000000" w:themeColor="text1"/>
          <w:sz w:val="28"/>
          <w:lang w:val="en-US" w:eastAsia="zh-CN" w:bidi="ar-SA"/>
          <w14:textFill>
            <w14:solidFill>
              <w14:schemeClr w14:val="tx1"/>
            </w14:solidFill>
          </w14:textFill>
        </w:rPr>
        <w:t>11</w:t>
      </w:r>
      <w:r>
        <w:rPr>
          <w:rFonts w:ascii="宋体" w:hAnsi="Times New Roman" w:eastAsia="宋体" w:cs="Times New Roman"/>
          <w:color w:val="000000" w:themeColor="text1"/>
          <w:sz w:val="28"/>
          <w:lang w:val="en-US" w:eastAsia="zh-CN" w:bidi="ar-SA"/>
          <w14:textFill>
            <w14:solidFill>
              <w14:schemeClr w14:val="tx1"/>
            </w14:solidFill>
          </w14:textFill>
        </w:rPr>
        <w:t>月</w:t>
      </w:r>
      <w:r>
        <w:rPr>
          <w:rFonts w:hint="eastAsia" w:ascii="宋体" w:hAnsi="Times New Roman" w:eastAsia="宋体" w:cs="Times New Roman"/>
          <w:color w:val="000000" w:themeColor="text1"/>
          <w:sz w:val="28"/>
          <w:lang w:val="en-US" w:eastAsia="zh-CN" w:bidi="ar-SA"/>
          <w14:textFill>
            <w14:solidFill>
              <w14:schemeClr w14:val="tx1"/>
            </w14:solidFill>
          </w14:textFill>
        </w:rPr>
        <w:t>08</w:t>
      </w:r>
      <w:r>
        <w:rPr>
          <w:rFonts w:ascii="宋体" w:hAnsi="Times New Roman" w:eastAsia="宋体" w:cs="Times New Roman"/>
          <w:color w:val="000000" w:themeColor="text1"/>
          <w:sz w:val="28"/>
          <w:lang w:val="en-US" w:eastAsia="zh-CN" w:bidi="ar-SA"/>
          <w14:textFill>
            <w14:solidFill>
              <w14:schemeClr w14:val="tx1"/>
            </w14:solidFill>
          </w14:textFill>
        </w:rPr>
        <w:t>日</w:t>
      </w:r>
      <w:r>
        <w:rPr>
          <w:rFonts w:hint="eastAsia" w:ascii="宋体" w:hAnsi="Times New Roman" w:eastAsia="宋体" w:cs="Times New Roman"/>
          <w:color w:val="000000" w:themeColor="text1"/>
          <w:sz w:val="28"/>
          <w:lang w:val="en-US" w:eastAsia="zh-CN" w:bidi="ar-SA"/>
          <w14:textFill>
            <w14:solidFill>
              <w14:schemeClr w14:val="tx1"/>
            </w14:solidFill>
          </w14:textFill>
        </w:rPr>
        <w:t>换发了</w:t>
      </w:r>
      <w:r>
        <w:rPr>
          <w:rFonts w:ascii="宋体" w:hAnsi="Times New Roman" w:eastAsia="宋体" w:cs="Times New Roman"/>
          <w:color w:val="000000" w:themeColor="text1"/>
          <w:sz w:val="28"/>
          <w:lang w:val="en-US" w:eastAsia="zh-CN" w:bidi="ar-SA"/>
          <w14:textFill>
            <w14:solidFill>
              <w14:schemeClr w14:val="tx1"/>
            </w14:solidFill>
          </w14:textFill>
        </w:rPr>
        <w:t>《成品油零售经营批准证书》，证书编号：</w:t>
      </w:r>
      <w:r>
        <w:rPr>
          <w:rFonts w:hint="eastAsia" w:ascii="宋体" w:hAnsi="Times New Roman" w:eastAsia="宋体" w:cs="Times New Roman"/>
          <w:color w:val="000000" w:themeColor="text1"/>
          <w:sz w:val="28"/>
          <w:lang w:val="en-US" w:eastAsia="zh-CN" w:bidi="ar-SA"/>
          <w14:textFill>
            <w14:solidFill>
              <w14:schemeClr w14:val="tx1"/>
            </w14:solidFill>
          </w14:textFill>
        </w:rPr>
        <w:t>鲁油零售证书第3709001028</w:t>
      </w:r>
      <w:r>
        <w:rPr>
          <w:rFonts w:ascii="宋体" w:hAnsi="Times New Roman" w:eastAsia="宋体" w:cs="Times New Roman"/>
          <w:color w:val="000000" w:themeColor="text1"/>
          <w:sz w:val="28"/>
          <w:lang w:val="en-US" w:eastAsia="zh-CN" w:bidi="ar-SA"/>
          <w14:textFill>
            <w14:solidFill>
              <w14:schemeClr w14:val="tx1"/>
            </w14:solidFill>
          </w14:textFill>
        </w:rPr>
        <w:t>号</w:t>
      </w:r>
      <w:r>
        <w:rPr>
          <w:rFonts w:hint="eastAsia" w:ascii="宋体" w:hAnsi="Times New Roman" w:eastAsia="宋体" w:cs="Times New Roman"/>
          <w:color w:val="000000" w:themeColor="text1"/>
          <w:sz w:val="28"/>
          <w:lang w:val="en-US" w:eastAsia="zh-CN" w:bidi="ar-SA"/>
          <w14:textFill>
            <w14:solidFill>
              <w14:schemeClr w14:val="tx1"/>
            </w14:solidFill>
          </w14:textFill>
        </w:rPr>
        <w:t>，证书有效期至2026年11月08日。证书见附件</w:t>
      </w:r>
      <w:r>
        <w:rPr>
          <w:rFonts w:ascii="宋体" w:hAnsi="Times New Roman" w:eastAsia="宋体" w:cs="Times New Roman"/>
          <w:color w:val="000000" w:themeColor="text1"/>
          <w:sz w:val="28"/>
          <w:lang w:val="en-US" w:eastAsia="zh-CN" w:bidi="ar-SA"/>
          <w14:textFill>
            <w14:solidFill>
              <w14:schemeClr w14:val="tx1"/>
            </w14:solidFill>
          </w14:textFill>
        </w:rPr>
        <w:t>。</w:t>
      </w:r>
    </w:p>
    <w:p w14:paraId="230727F0">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bookmarkStart w:id="9" w:name="_Hlk508440011"/>
      <w:r>
        <w:rPr>
          <w:rFonts w:hint="eastAsia" w:ascii="宋体" w:hAnsi="Times New Roman" w:eastAsia="宋体" w:cs="Times New Roman"/>
          <w:color w:val="000000" w:themeColor="text1"/>
          <w:sz w:val="28"/>
          <w:lang w:val="en-US" w:eastAsia="zh-CN" w:bidi="ar-SA"/>
          <w14:textFill>
            <w14:solidFill>
              <w14:schemeClr w14:val="tx1"/>
            </w14:solidFill>
          </w14:textFill>
        </w:rPr>
        <w:t>该站编制了生产安全事故应急预案，于2023年2月6日在泰安市应急管理局进行了备案，备案编号为：370900-2023-0015。详见附件。</w:t>
      </w:r>
    </w:p>
    <w:bookmarkEnd w:id="9"/>
    <w:p w14:paraId="76DCF2F0">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山东天科防雷工程有限公司对该站进行了相关防雷设施的检测，出具了合格的《雷电防护装置定期检测报告》，报告编号：天科雷检字[2023]TA-DY-A258号，防雷类别：二类，有效期2023年10月13日至2024年04月12日。检测报告见附件。</w:t>
      </w:r>
    </w:p>
    <w:p w14:paraId="3E2152C5">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该加油站于2023年06月21购买了安全生产责任保险，保单号为PZIT202337010000000074，保险期限为2023年06月23日至2024年06月22日。详见附件。</w:t>
      </w:r>
    </w:p>
    <w:p w14:paraId="626BF9E1">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该站建立健全了安全生产责任制、安全生产规章制度和安全操作规程，执行情况较好。</w:t>
      </w:r>
    </w:p>
    <w:p w14:paraId="7030C444">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该站现有员工3人，按规定持证上岗。该加油站成立了以主要负责人为安全第一责任人的安全生产领导小组，同时成立了义务消防队。主要负责人和安全员经过安全培训，各项安全管理制度基本健全，有生产经营单位生产事故应急预案，并定期进行应急救援演练。该加油站消防器材配备齐全，加油站配备了35kg推车式干粉灭火器1具，5kg手提式干粉灭火器8具，CO</w:t>
      </w:r>
      <w:r>
        <w:rPr>
          <w:rFonts w:hint="eastAsia" w:ascii="宋体" w:hAnsi="Times New Roman" w:eastAsia="宋体" w:cs="Times New Roman"/>
          <w:color w:val="000000" w:themeColor="text1"/>
          <w:sz w:val="28"/>
          <w:vertAlign w:val="subscript"/>
          <w:lang w:val="en-US" w:eastAsia="zh-CN" w:bidi="ar-SA"/>
          <w14:textFill>
            <w14:solidFill>
              <w14:schemeClr w14:val="tx1"/>
            </w14:solidFill>
          </w14:textFill>
        </w:rPr>
        <w:t>2</w:t>
      </w:r>
      <w:r>
        <w:rPr>
          <w:rFonts w:hint="eastAsia" w:ascii="宋体" w:hAnsi="Times New Roman" w:eastAsia="宋体" w:cs="Times New Roman"/>
          <w:color w:val="000000" w:themeColor="text1"/>
          <w:sz w:val="28"/>
          <w:lang w:val="en-US" w:eastAsia="zh-CN" w:bidi="ar-SA"/>
          <w14:textFill>
            <w14:solidFill>
              <w14:schemeClr w14:val="tx1"/>
            </w14:solidFill>
          </w14:textFill>
        </w:rPr>
        <w:t>灭火器6具，灭火毯5块，消防锨4把，消防桶2个，消防沙池2m</w:t>
      </w:r>
      <w:r>
        <w:rPr>
          <w:rFonts w:hint="eastAsia" w:ascii="宋体" w:hAnsi="Times New Roman" w:eastAsia="宋体" w:cs="Times New Roman"/>
          <w:color w:val="000000" w:themeColor="text1"/>
          <w:sz w:val="28"/>
          <w:vertAlign w:val="superscript"/>
          <w:lang w:val="en-US" w:eastAsia="zh-CN" w:bidi="ar-SA"/>
          <w14:textFill>
            <w14:solidFill>
              <w14:schemeClr w14:val="tx1"/>
            </w14:solidFill>
          </w14:textFill>
        </w:rPr>
        <w:t>3</w:t>
      </w:r>
      <w:r>
        <w:rPr>
          <w:rFonts w:hint="eastAsia" w:ascii="宋体" w:hAnsi="Times New Roman" w:eastAsia="宋体" w:cs="Times New Roman"/>
          <w:color w:val="000000" w:themeColor="text1"/>
          <w:sz w:val="28"/>
          <w:lang w:val="en-US" w:eastAsia="zh-CN" w:bidi="ar-SA"/>
          <w14:textFill>
            <w14:solidFill>
              <w14:schemeClr w14:val="tx1"/>
            </w14:solidFill>
          </w14:textFill>
        </w:rPr>
        <w:t>。</w:t>
      </w:r>
    </w:p>
    <w:p w14:paraId="5A5A80BA">
      <w:pPr>
        <w:rPr>
          <w:rFonts w:hint="eastAsia" w:eastAsia="宋体"/>
          <w:lang w:eastAsia="zh-CN"/>
        </w:rPr>
      </w:pPr>
      <w:r>
        <w:rPr>
          <w:rFonts w:hint="eastAsia" w:eastAsia="宋体"/>
          <w:lang w:eastAsia="zh-CN"/>
        </w:rPr>
        <w:br w:type="page"/>
      </w:r>
    </w:p>
    <w:p w14:paraId="5DB960AB">
      <w:pPr>
        <w:pStyle w:val="14"/>
        <w:widowControl w:val="0"/>
        <w:adjustRightInd w:val="0"/>
        <w:snapToGrid w:val="0"/>
        <w:spacing w:before="0" w:beforeLines="0" w:after="0" w:afterLines="0" w:line="360" w:lineRule="auto"/>
        <w:rPr>
          <w:color w:val="auto"/>
        </w:rPr>
      </w:pPr>
      <w:bookmarkStart w:id="10" w:name="_Toc102634255"/>
      <w:bookmarkStart w:id="11" w:name="_Toc102633980"/>
      <w:bookmarkStart w:id="12" w:name="_Toc102633906"/>
      <w:bookmarkStart w:id="13" w:name="_Toc102634406"/>
      <w:r>
        <w:rPr>
          <w:rFonts w:hint="eastAsia"/>
          <w:color w:val="auto"/>
          <w:lang w:val="en-US" w:eastAsia="zh-CN"/>
        </w:rPr>
        <w:t>二、</w:t>
      </w:r>
      <w:r>
        <w:rPr>
          <w:color w:val="auto"/>
        </w:rPr>
        <w:t xml:space="preserve"> 评价单元划分与评价方法选择</w:t>
      </w:r>
      <w:bookmarkEnd w:id="10"/>
      <w:bookmarkEnd w:id="11"/>
      <w:bookmarkEnd w:id="12"/>
      <w:bookmarkEnd w:id="13"/>
    </w:p>
    <w:p w14:paraId="52E2840E">
      <w:pPr>
        <w:snapToGrid w:val="0"/>
        <w:spacing w:line="360" w:lineRule="auto"/>
        <w:jc w:val="center"/>
        <w:outlineLvl w:val="1"/>
        <w:rPr>
          <w:rFonts w:ascii="Calibri" w:hAnsi="Calibri" w:eastAsia="楷体_GB2312"/>
          <w:b/>
          <w:color w:val="auto"/>
          <w:kern w:val="0"/>
          <w:sz w:val="32"/>
          <w:szCs w:val="20"/>
        </w:rPr>
      </w:pPr>
      <w:bookmarkStart w:id="14" w:name="_Toc192907201"/>
      <w:bookmarkStart w:id="15" w:name="_Toc15033754"/>
      <w:bookmarkStart w:id="16" w:name="_Toc198026273"/>
      <w:bookmarkStart w:id="17" w:name="_Toc238007574"/>
      <w:bookmarkStart w:id="18" w:name="_Toc23543"/>
      <w:bookmarkStart w:id="19" w:name="_Toc272364536"/>
      <w:bookmarkStart w:id="20" w:name="_Toc102634407"/>
      <w:bookmarkStart w:id="21" w:name="_Toc102633907"/>
      <w:bookmarkStart w:id="22" w:name="_Toc7829"/>
      <w:bookmarkStart w:id="23" w:name="_Toc102633981"/>
      <w:bookmarkStart w:id="24" w:name="_Toc102634256"/>
      <w:r>
        <w:rPr>
          <w:rFonts w:ascii="Calibri" w:hAnsi="Calibri" w:eastAsia="楷体_GB2312"/>
          <w:b/>
          <w:color w:val="auto"/>
          <w:kern w:val="0"/>
          <w:sz w:val="32"/>
          <w:szCs w:val="20"/>
        </w:rPr>
        <w:t>第一节 评价单元的划分</w:t>
      </w:r>
      <w:bookmarkEnd w:id="14"/>
      <w:bookmarkEnd w:id="15"/>
      <w:bookmarkEnd w:id="16"/>
      <w:bookmarkEnd w:id="17"/>
      <w:bookmarkEnd w:id="18"/>
      <w:bookmarkEnd w:id="19"/>
      <w:bookmarkEnd w:id="20"/>
      <w:bookmarkEnd w:id="21"/>
      <w:bookmarkEnd w:id="22"/>
      <w:bookmarkEnd w:id="23"/>
      <w:bookmarkEnd w:id="24"/>
    </w:p>
    <w:p w14:paraId="413F3666">
      <w:pPr>
        <w:pStyle w:val="10"/>
        <w:widowControl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55A801D0">
      <w:pPr>
        <w:pStyle w:val="15"/>
        <w:widowControl w:val="0"/>
        <w:spacing w:line="360" w:lineRule="auto"/>
        <w:ind w:firstLine="560"/>
        <w:jc w:val="both"/>
        <w:rPr>
          <w:color w:val="auto"/>
        </w:rPr>
      </w:pPr>
      <w:bookmarkStart w:id="25" w:name="_Toc102634257"/>
      <w:r>
        <w:rPr>
          <w:rFonts w:hint="eastAsia"/>
          <w:color w:val="auto"/>
        </w:rPr>
        <w:t>一</w:t>
      </w:r>
      <w:r>
        <w:rPr>
          <w:color w:val="auto"/>
        </w:rPr>
        <w:t>、以危险有害因素的类别为主划分评价单元</w:t>
      </w:r>
      <w:bookmarkEnd w:id="25"/>
    </w:p>
    <w:p w14:paraId="579D18A4">
      <w:pPr>
        <w:pStyle w:val="10"/>
        <w:widowControl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6242948F">
      <w:pPr>
        <w:pStyle w:val="10"/>
        <w:widowControl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0342CF09">
      <w:pPr>
        <w:pStyle w:val="15"/>
        <w:widowControl w:val="0"/>
        <w:spacing w:line="360" w:lineRule="auto"/>
        <w:ind w:firstLine="560"/>
        <w:jc w:val="both"/>
        <w:rPr>
          <w:color w:val="auto"/>
        </w:rPr>
      </w:pPr>
      <w:bookmarkStart w:id="26" w:name="_Toc102634258"/>
      <w:r>
        <w:rPr>
          <w:rFonts w:hint="eastAsia"/>
          <w:color w:val="auto"/>
        </w:rPr>
        <w:t>二</w:t>
      </w:r>
      <w:r>
        <w:rPr>
          <w:color w:val="auto"/>
        </w:rPr>
        <w:t>、以物质特征划分评价单元</w:t>
      </w:r>
      <w:bookmarkEnd w:id="26"/>
    </w:p>
    <w:p w14:paraId="7C25BC90">
      <w:pPr>
        <w:pStyle w:val="10"/>
        <w:widowControl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0565FBB7">
      <w:pPr>
        <w:pStyle w:val="10"/>
        <w:widowControl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0035C5CC">
      <w:pPr>
        <w:pStyle w:val="10"/>
        <w:widowControl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根据上述常用的评价单元划分原则和方法，以及《安全评价通则》中关于安全评价报告主要内容和要求的规定结合该项目的特点和实际情况，将评价内容划分为以下四个单元：</w:t>
      </w:r>
    </w:p>
    <w:p w14:paraId="7D66C0DB">
      <w:pPr>
        <w:pStyle w:val="10"/>
        <w:widowControl w:val="0"/>
        <w:spacing w:line="360" w:lineRule="auto"/>
        <w:ind w:firstLine="560"/>
        <w:rPr>
          <w:rFonts w:ascii="宋体"/>
          <w:color w:val="auto"/>
        </w:rPr>
      </w:pPr>
      <w:r>
        <w:rPr>
          <w:rFonts w:ascii="宋体"/>
          <w:color w:val="auto"/>
        </w:rPr>
        <w:t>1、安全管理；</w:t>
      </w:r>
    </w:p>
    <w:p w14:paraId="207FD13F">
      <w:pPr>
        <w:pStyle w:val="10"/>
        <w:widowControl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2C9588A5">
      <w:pPr>
        <w:pStyle w:val="10"/>
        <w:widowControl w:val="0"/>
        <w:spacing w:line="360" w:lineRule="auto"/>
        <w:ind w:firstLine="560"/>
        <w:rPr>
          <w:rFonts w:ascii="宋体"/>
          <w:color w:val="auto"/>
        </w:rPr>
      </w:pPr>
      <w:r>
        <w:rPr>
          <w:rFonts w:ascii="宋体"/>
          <w:color w:val="auto"/>
        </w:rPr>
        <w:t>3、加油工艺及设施；</w:t>
      </w:r>
    </w:p>
    <w:p w14:paraId="235FCFDC">
      <w:pPr>
        <w:pStyle w:val="10"/>
        <w:widowControl w:val="0"/>
        <w:spacing w:line="360" w:lineRule="auto"/>
        <w:ind w:firstLine="560"/>
        <w:rPr>
          <w:rFonts w:ascii="宋体"/>
          <w:color w:val="auto"/>
        </w:rPr>
      </w:pPr>
      <w:r>
        <w:rPr>
          <w:rFonts w:ascii="宋体"/>
          <w:color w:val="auto"/>
        </w:rPr>
        <w:t>4、其它安全设施等。</w:t>
      </w:r>
      <w:bookmarkStart w:id="27" w:name="_Toc15033755"/>
      <w:bookmarkStart w:id="28" w:name="_Toc188080068"/>
      <w:bookmarkStart w:id="29" w:name="_Toc198026274"/>
      <w:bookmarkStart w:id="30" w:name="_Toc19785"/>
      <w:bookmarkStart w:id="31" w:name="_Toc24232"/>
      <w:bookmarkStart w:id="32" w:name="_Toc238007575"/>
      <w:bookmarkStart w:id="33" w:name="_Toc188079886"/>
      <w:bookmarkStart w:id="34" w:name="_Toc272364537"/>
      <w:bookmarkStart w:id="35" w:name="_Toc192907202"/>
    </w:p>
    <w:p w14:paraId="02AE67FD">
      <w:pPr>
        <w:snapToGrid w:val="0"/>
        <w:spacing w:before="120" w:after="120" w:line="560" w:lineRule="exact"/>
        <w:jc w:val="center"/>
        <w:outlineLvl w:val="1"/>
        <w:rPr>
          <w:rFonts w:ascii="Calibri" w:hAnsi="Calibri" w:eastAsia="楷体_GB2312"/>
          <w:b/>
          <w:color w:val="auto"/>
          <w:kern w:val="0"/>
          <w:sz w:val="32"/>
          <w:szCs w:val="20"/>
        </w:rPr>
      </w:pPr>
      <w:bookmarkStart w:id="36" w:name="_Toc102633982"/>
      <w:bookmarkStart w:id="37" w:name="_Toc102633908"/>
      <w:bookmarkStart w:id="38" w:name="_Toc102634408"/>
      <w:bookmarkStart w:id="39" w:name="_Toc102634259"/>
      <w:r>
        <w:rPr>
          <w:rFonts w:ascii="Calibri" w:hAnsi="Calibri" w:eastAsia="楷体_GB2312"/>
          <w:b/>
          <w:color w:val="auto"/>
          <w:kern w:val="0"/>
          <w:sz w:val="32"/>
          <w:szCs w:val="20"/>
        </w:rPr>
        <w:t>第二节 评价方法的选择</w:t>
      </w:r>
      <w:bookmarkEnd w:id="27"/>
      <w:bookmarkEnd w:id="28"/>
      <w:bookmarkEnd w:id="29"/>
      <w:bookmarkEnd w:id="30"/>
      <w:bookmarkEnd w:id="31"/>
      <w:bookmarkEnd w:id="32"/>
      <w:bookmarkEnd w:id="33"/>
      <w:bookmarkEnd w:id="34"/>
      <w:bookmarkEnd w:id="35"/>
      <w:bookmarkEnd w:id="36"/>
      <w:bookmarkEnd w:id="37"/>
      <w:bookmarkEnd w:id="38"/>
      <w:bookmarkEnd w:id="39"/>
    </w:p>
    <w:p w14:paraId="1A757A47">
      <w:pPr>
        <w:pStyle w:val="10"/>
        <w:widowControl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15847ACA">
      <w:pPr>
        <w:pStyle w:val="10"/>
        <w:widowControl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4FF48BAF">
      <w:pPr>
        <w:pStyle w:val="10"/>
        <w:widowControl w:val="0"/>
        <w:spacing w:line="360" w:lineRule="auto"/>
        <w:ind w:firstLine="560"/>
        <w:rPr>
          <w:rFonts w:ascii="宋体"/>
          <w:color w:val="auto"/>
        </w:rPr>
      </w:pPr>
      <w:r>
        <w:rPr>
          <w:rFonts w:ascii="宋体"/>
          <w:color w:val="auto"/>
        </w:rPr>
        <w:t>根据本次安全评价的特点，结合</w:t>
      </w:r>
      <w:r>
        <w:rPr>
          <w:rFonts w:hint="eastAsia" w:ascii="宋体"/>
          <w:color w:val="auto"/>
          <w:lang w:eastAsia="zh-CN"/>
        </w:rPr>
        <w:t>中国石化山东泰山石油股份有限公司泰安第二十七加油站</w:t>
      </w:r>
      <w:r>
        <w:rPr>
          <w:rFonts w:ascii="宋体"/>
          <w:color w:val="auto"/>
        </w:rPr>
        <w:t>的具体情况，选用安全检查表、事故树法及危险度评价法对加油站进行评价。具体应用如下表所示：</w:t>
      </w:r>
    </w:p>
    <w:p w14:paraId="489FB792">
      <w:pPr>
        <w:pStyle w:val="11"/>
        <w:widowControl w:val="0"/>
        <w:outlineLvl w:val="9"/>
        <w:rPr>
          <w:rFonts w:ascii="黑体" w:hAnsi="黑体"/>
          <w:color w:val="auto"/>
        </w:rPr>
      </w:pPr>
      <w:r>
        <w:rPr>
          <w:rFonts w:ascii="黑体" w:hAnsi="黑体"/>
          <w:color w:val="auto"/>
        </w:rPr>
        <w:t>表4.2-1 评价方法选择一览表</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1"/>
        <w:gridCol w:w="2190"/>
        <w:gridCol w:w="2040"/>
        <w:gridCol w:w="1994"/>
        <w:gridCol w:w="1657"/>
      </w:tblGrid>
      <w:tr w14:paraId="15D8B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restart"/>
            <w:vAlign w:val="center"/>
          </w:tcPr>
          <w:p w14:paraId="0B4EA797">
            <w:pPr>
              <w:pStyle w:val="12"/>
              <w:widowControl w:val="0"/>
              <w:spacing w:line="360" w:lineRule="auto"/>
              <w:rPr>
                <w:rFonts w:ascii="宋体"/>
                <w:b/>
                <w:color w:val="auto"/>
                <w:lang w:val="en-GB"/>
              </w:rPr>
            </w:pPr>
            <w:r>
              <w:rPr>
                <w:rFonts w:ascii="宋体"/>
                <w:b/>
                <w:color w:val="auto"/>
                <w:lang w:val="en-GB"/>
              </w:rPr>
              <w:t>序号</w:t>
            </w:r>
          </w:p>
        </w:tc>
        <w:tc>
          <w:tcPr>
            <w:tcW w:w="1285" w:type="pct"/>
            <w:vMerge w:val="restart"/>
            <w:vAlign w:val="center"/>
          </w:tcPr>
          <w:p w14:paraId="4AAD85CB">
            <w:pPr>
              <w:pStyle w:val="12"/>
              <w:widowControl w:val="0"/>
              <w:spacing w:line="360" w:lineRule="auto"/>
              <w:rPr>
                <w:rFonts w:ascii="宋体"/>
                <w:b/>
                <w:color w:val="auto"/>
              </w:rPr>
            </w:pPr>
            <w:r>
              <w:rPr>
                <w:rFonts w:ascii="宋体"/>
                <w:b/>
                <w:bCs/>
                <w:color w:val="auto"/>
                <w:lang w:val="en-GB"/>
              </w:rPr>
              <w:t>评价单元</w:t>
            </w:r>
          </w:p>
        </w:tc>
        <w:tc>
          <w:tcPr>
            <w:tcW w:w="3339" w:type="pct"/>
            <w:gridSpan w:val="3"/>
            <w:vAlign w:val="center"/>
          </w:tcPr>
          <w:p w14:paraId="61476857">
            <w:pPr>
              <w:pStyle w:val="12"/>
              <w:widowControl w:val="0"/>
              <w:spacing w:line="360" w:lineRule="auto"/>
              <w:rPr>
                <w:rFonts w:ascii="宋体"/>
                <w:b/>
                <w:color w:val="auto"/>
              </w:rPr>
            </w:pPr>
            <w:r>
              <w:rPr>
                <w:rFonts w:ascii="宋体"/>
                <w:b/>
                <w:color w:val="auto"/>
                <w:lang w:val="en-GB"/>
              </w:rPr>
              <w:t>评价方法</w:t>
            </w:r>
          </w:p>
        </w:tc>
      </w:tr>
      <w:tr w14:paraId="601DA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continue"/>
            <w:vAlign w:val="center"/>
          </w:tcPr>
          <w:p w14:paraId="29A8788F">
            <w:pPr>
              <w:pStyle w:val="12"/>
              <w:widowControl w:val="0"/>
              <w:spacing w:line="360" w:lineRule="auto"/>
              <w:rPr>
                <w:rFonts w:ascii="宋体"/>
                <w:b/>
                <w:color w:val="auto"/>
                <w:lang w:val="en-GB"/>
              </w:rPr>
            </w:pPr>
          </w:p>
        </w:tc>
        <w:tc>
          <w:tcPr>
            <w:tcW w:w="1285" w:type="pct"/>
            <w:vMerge w:val="continue"/>
            <w:vAlign w:val="center"/>
          </w:tcPr>
          <w:p w14:paraId="36D995E2">
            <w:pPr>
              <w:pStyle w:val="12"/>
              <w:widowControl w:val="0"/>
              <w:spacing w:line="360" w:lineRule="auto"/>
              <w:rPr>
                <w:rFonts w:ascii="宋体"/>
                <w:b/>
                <w:color w:val="auto"/>
              </w:rPr>
            </w:pPr>
          </w:p>
        </w:tc>
        <w:tc>
          <w:tcPr>
            <w:tcW w:w="1197" w:type="pct"/>
            <w:vAlign w:val="center"/>
          </w:tcPr>
          <w:p w14:paraId="2EA6F9EA">
            <w:pPr>
              <w:pStyle w:val="12"/>
              <w:widowControl w:val="0"/>
              <w:spacing w:line="360" w:lineRule="auto"/>
              <w:rPr>
                <w:rFonts w:ascii="宋体"/>
                <w:b/>
                <w:color w:val="auto"/>
                <w:lang w:val="en-GB"/>
              </w:rPr>
            </w:pPr>
            <w:r>
              <w:rPr>
                <w:rFonts w:ascii="宋体"/>
                <w:b/>
                <w:color w:val="auto"/>
                <w:lang w:val="en-GB"/>
              </w:rPr>
              <w:t>安全检查表</w:t>
            </w:r>
          </w:p>
        </w:tc>
        <w:tc>
          <w:tcPr>
            <w:tcW w:w="1170" w:type="pct"/>
            <w:vAlign w:val="center"/>
          </w:tcPr>
          <w:p w14:paraId="37738F49">
            <w:pPr>
              <w:pStyle w:val="12"/>
              <w:widowControl w:val="0"/>
              <w:spacing w:line="360" w:lineRule="auto"/>
              <w:rPr>
                <w:rFonts w:ascii="宋体"/>
                <w:b/>
                <w:color w:val="auto"/>
                <w:lang w:val="en-GB"/>
              </w:rPr>
            </w:pPr>
            <w:r>
              <w:rPr>
                <w:rFonts w:ascii="宋体"/>
                <w:b/>
                <w:color w:val="auto"/>
                <w:lang w:val="en-GB"/>
              </w:rPr>
              <w:t>危险度评价法</w:t>
            </w:r>
          </w:p>
        </w:tc>
        <w:tc>
          <w:tcPr>
            <w:tcW w:w="972" w:type="pct"/>
            <w:vAlign w:val="center"/>
          </w:tcPr>
          <w:p w14:paraId="7B4E9F7A">
            <w:pPr>
              <w:pStyle w:val="12"/>
              <w:widowControl w:val="0"/>
              <w:spacing w:line="360" w:lineRule="auto"/>
              <w:rPr>
                <w:rFonts w:ascii="宋体"/>
                <w:b/>
                <w:color w:val="auto"/>
                <w:lang w:val="en-GB"/>
              </w:rPr>
            </w:pPr>
            <w:r>
              <w:rPr>
                <w:rFonts w:ascii="宋体"/>
                <w:b/>
                <w:color w:val="auto"/>
                <w:lang w:val="en-GB"/>
              </w:rPr>
              <w:t>事故树法</w:t>
            </w:r>
          </w:p>
        </w:tc>
      </w:tr>
      <w:tr w14:paraId="670D0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0EE039F3">
            <w:pPr>
              <w:pStyle w:val="12"/>
              <w:widowControl w:val="0"/>
              <w:spacing w:line="360" w:lineRule="auto"/>
              <w:rPr>
                <w:rFonts w:ascii="宋体"/>
                <w:color w:val="auto"/>
                <w:lang w:val="en-GB"/>
              </w:rPr>
            </w:pPr>
            <w:r>
              <w:rPr>
                <w:rFonts w:ascii="宋体"/>
                <w:color w:val="auto"/>
                <w:lang w:val="en-GB"/>
              </w:rPr>
              <w:t>1</w:t>
            </w:r>
          </w:p>
        </w:tc>
        <w:tc>
          <w:tcPr>
            <w:tcW w:w="1285" w:type="pct"/>
            <w:vAlign w:val="center"/>
          </w:tcPr>
          <w:p w14:paraId="689B7883">
            <w:pPr>
              <w:pStyle w:val="12"/>
              <w:widowControl w:val="0"/>
              <w:spacing w:line="360" w:lineRule="auto"/>
              <w:rPr>
                <w:rFonts w:ascii="宋体"/>
                <w:color w:val="auto"/>
                <w:lang w:val="en-GB"/>
              </w:rPr>
            </w:pPr>
            <w:r>
              <w:rPr>
                <w:rFonts w:ascii="宋体"/>
                <w:color w:val="auto"/>
                <w:lang w:val="en-GB"/>
              </w:rPr>
              <w:t>安全管理单元</w:t>
            </w:r>
          </w:p>
        </w:tc>
        <w:tc>
          <w:tcPr>
            <w:tcW w:w="1197" w:type="pct"/>
            <w:vAlign w:val="center"/>
          </w:tcPr>
          <w:p w14:paraId="5F0DC5F3">
            <w:pPr>
              <w:pStyle w:val="12"/>
              <w:widowControl w:val="0"/>
              <w:spacing w:line="360" w:lineRule="auto"/>
              <w:rPr>
                <w:rFonts w:ascii="宋体"/>
                <w:color w:val="auto"/>
              </w:rPr>
            </w:pPr>
            <w:r>
              <w:rPr>
                <w:rFonts w:hint="eastAsia" w:ascii="宋体" w:hAnsi="宋体" w:cs="宋体"/>
                <w:color w:val="auto"/>
              </w:rPr>
              <w:t>★</w:t>
            </w:r>
          </w:p>
        </w:tc>
        <w:tc>
          <w:tcPr>
            <w:tcW w:w="1170" w:type="pct"/>
            <w:vAlign w:val="center"/>
          </w:tcPr>
          <w:p w14:paraId="7D1F7FB2">
            <w:pPr>
              <w:pStyle w:val="12"/>
              <w:widowControl w:val="0"/>
              <w:spacing w:line="360" w:lineRule="auto"/>
              <w:rPr>
                <w:rFonts w:ascii="宋体"/>
                <w:color w:val="auto"/>
              </w:rPr>
            </w:pPr>
          </w:p>
        </w:tc>
        <w:tc>
          <w:tcPr>
            <w:tcW w:w="972" w:type="pct"/>
            <w:vAlign w:val="center"/>
          </w:tcPr>
          <w:p w14:paraId="7A7A5792">
            <w:pPr>
              <w:pStyle w:val="12"/>
              <w:widowControl w:val="0"/>
              <w:spacing w:line="360" w:lineRule="auto"/>
              <w:rPr>
                <w:rFonts w:ascii="宋体"/>
                <w:color w:val="auto"/>
              </w:rPr>
            </w:pPr>
          </w:p>
        </w:tc>
      </w:tr>
      <w:tr w14:paraId="4889D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5514B29F">
            <w:pPr>
              <w:pStyle w:val="12"/>
              <w:widowControl w:val="0"/>
              <w:spacing w:line="360" w:lineRule="auto"/>
              <w:rPr>
                <w:rFonts w:ascii="宋体"/>
                <w:color w:val="auto"/>
                <w:lang w:val="en-GB"/>
              </w:rPr>
            </w:pPr>
            <w:r>
              <w:rPr>
                <w:rFonts w:ascii="宋体"/>
                <w:color w:val="auto"/>
                <w:lang w:val="en-GB"/>
              </w:rPr>
              <w:t>2</w:t>
            </w:r>
          </w:p>
        </w:tc>
        <w:tc>
          <w:tcPr>
            <w:tcW w:w="1285" w:type="pct"/>
            <w:vAlign w:val="center"/>
          </w:tcPr>
          <w:p w14:paraId="2848FA58">
            <w:pPr>
              <w:pStyle w:val="12"/>
              <w:widowControl w:val="0"/>
              <w:spacing w:line="360" w:lineRule="auto"/>
              <w:rPr>
                <w:rFonts w:ascii="宋体"/>
                <w:color w:val="auto"/>
                <w:lang w:val="en-GB"/>
              </w:rPr>
            </w:pPr>
            <w:r>
              <w:rPr>
                <w:rFonts w:ascii="宋体"/>
                <w:color w:val="auto"/>
                <w:lang w:val="en-GB"/>
              </w:rPr>
              <w:t>站址选择及总平面布置</w:t>
            </w:r>
          </w:p>
        </w:tc>
        <w:tc>
          <w:tcPr>
            <w:tcW w:w="1197" w:type="pct"/>
            <w:vAlign w:val="center"/>
          </w:tcPr>
          <w:p w14:paraId="26003F15">
            <w:pPr>
              <w:pStyle w:val="12"/>
              <w:widowControl w:val="0"/>
              <w:spacing w:line="360" w:lineRule="auto"/>
              <w:rPr>
                <w:rFonts w:ascii="宋体"/>
                <w:color w:val="auto"/>
              </w:rPr>
            </w:pPr>
            <w:r>
              <w:rPr>
                <w:rFonts w:hint="eastAsia" w:ascii="宋体" w:hAnsi="宋体" w:cs="宋体"/>
                <w:color w:val="auto"/>
              </w:rPr>
              <w:t>★</w:t>
            </w:r>
          </w:p>
        </w:tc>
        <w:tc>
          <w:tcPr>
            <w:tcW w:w="1170" w:type="pct"/>
            <w:vAlign w:val="center"/>
          </w:tcPr>
          <w:p w14:paraId="2CE93DBC">
            <w:pPr>
              <w:pStyle w:val="12"/>
              <w:widowControl w:val="0"/>
              <w:spacing w:line="360" w:lineRule="auto"/>
              <w:rPr>
                <w:rFonts w:ascii="宋体"/>
                <w:color w:val="auto"/>
              </w:rPr>
            </w:pPr>
          </w:p>
        </w:tc>
        <w:tc>
          <w:tcPr>
            <w:tcW w:w="972" w:type="pct"/>
            <w:vAlign w:val="center"/>
          </w:tcPr>
          <w:p w14:paraId="61899601">
            <w:pPr>
              <w:pStyle w:val="12"/>
              <w:widowControl w:val="0"/>
              <w:spacing w:line="360" w:lineRule="auto"/>
              <w:rPr>
                <w:rFonts w:ascii="宋体"/>
                <w:color w:val="auto"/>
              </w:rPr>
            </w:pPr>
          </w:p>
        </w:tc>
      </w:tr>
      <w:tr w14:paraId="2209F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6A64A113">
            <w:pPr>
              <w:pStyle w:val="12"/>
              <w:widowControl w:val="0"/>
              <w:spacing w:line="360" w:lineRule="auto"/>
              <w:rPr>
                <w:rFonts w:ascii="宋体"/>
                <w:color w:val="auto"/>
                <w:lang w:val="en-GB"/>
              </w:rPr>
            </w:pPr>
            <w:r>
              <w:rPr>
                <w:rFonts w:ascii="宋体"/>
                <w:color w:val="auto"/>
                <w:lang w:val="en-GB"/>
              </w:rPr>
              <w:t>3</w:t>
            </w:r>
          </w:p>
        </w:tc>
        <w:tc>
          <w:tcPr>
            <w:tcW w:w="1285" w:type="pct"/>
            <w:vAlign w:val="center"/>
          </w:tcPr>
          <w:p w14:paraId="6580FA95">
            <w:pPr>
              <w:pStyle w:val="12"/>
              <w:widowControl w:val="0"/>
              <w:spacing w:line="360" w:lineRule="auto"/>
              <w:rPr>
                <w:rFonts w:ascii="宋体"/>
                <w:color w:val="auto"/>
                <w:lang w:val="en-GB"/>
              </w:rPr>
            </w:pPr>
            <w:r>
              <w:rPr>
                <w:rFonts w:ascii="宋体"/>
                <w:color w:val="auto"/>
                <w:lang w:val="en-GB"/>
              </w:rPr>
              <w:t>加油工艺及设施</w:t>
            </w:r>
          </w:p>
        </w:tc>
        <w:tc>
          <w:tcPr>
            <w:tcW w:w="1197" w:type="pct"/>
            <w:vAlign w:val="center"/>
          </w:tcPr>
          <w:p w14:paraId="43F512F3">
            <w:pPr>
              <w:pStyle w:val="12"/>
              <w:widowControl w:val="0"/>
              <w:spacing w:line="360" w:lineRule="auto"/>
              <w:rPr>
                <w:rFonts w:ascii="宋体"/>
                <w:color w:val="auto"/>
              </w:rPr>
            </w:pPr>
            <w:r>
              <w:rPr>
                <w:rFonts w:hint="eastAsia" w:ascii="宋体" w:hAnsi="宋体" w:cs="宋体"/>
                <w:color w:val="auto"/>
              </w:rPr>
              <w:t>★</w:t>
            </w:r>
          </w:p>
        </w:tc>
        <w:tc>
          <w:tcPr>
            <w:tcW w:w="1170" w:type="pct"/>
            <w:vAlign w:val="center"/>
          </w:tcPr>
          <w:p w14:paraId="3A75FF02">
            <w:pPr>
              <w:pStyle w:val="12"/>
              <w:widowControl w:val="0"/>
              <w:spacing w:line="360" w:lineRule="auto"/>
              <w:rPr>
                <w:rFonts w:ascii="宋体"/>
                <w:color w:val="auto"/>
              </w:rPr>
            </w:pPr>
            <w:r>
              <w:rPr>
                <w:rFonts w:hint="eastAsia" w:ascii="宋体" w:hAnsi="宋体" w:cs="宋体"/>
                <w:color w:val="auto"/>
              </w:rPr>
              <w:t>★</w:t>
            </w:r>
          </w:p>
        </w:tc>
        <w:tc>
          <w:tcPr>
            <w:tcW w:w="972" w:type="pct"/>
            <w:vAlign w:val="center"/>
          </w:tcPr>
          <w:p w14:paraId="5AEDBD89">
            <w:pPr>
              <w:pStyle w:val="12"/>
              <w:widowControl w:val="0"/>
              <w:spacing w:line="360" w:lineRule="auto"/>
              <w:rPr>
                <w:rFonts w:ascii="宋体"/>
                <w:color w:val="auto"/>
              </w:rPr>
            </w:pPr>
            <w:r>
              <w:rPr>
                <w:rFonts w:hint="eastAsia" w:ascii="宋体" w:hAnsi="宋体" w:cs="宋体"/>
                <w:color w:val="auto"/>
              </w:rPr>
              <w:t>★</w:t>
            </w:r>
          </w:p>
        </w:tc>
      </w:tr>
      <w:tr w14:paraId="1ED46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7B4B9641">
            <w:pPr>
              <w:pStyle w:val="12"/>
              <w:widowControl w:val="0"/>
              <w:spacing w:line="360" w:lineRule="auto"/>
              <w:rPr>
                <w:rFonts w:ascii="宋体"/>
                <w:color w:val="auto"/>
                <w:lang w:val="en-GB"/>
              </w:rPr>
            </w:pPr>
            <w:r>
              <w:rPr>
                <w:rFonts w:ascii="宋体"/>
                <w:color w:val="auto"/>
                <w:lang w:val="en-GB"/>
              </w:rPr>
              <w:t>4</w:t>
            </w:r>
          </w:p>
        </w:tc>
        <w:tc>
          <w:tcPr>
            <w:tcW w:w="1285" w:type="pct"/>
            <w:vAlign w:val="center"/>
          </w:tcPr>
          <w:p w14:paraId="76EEC6F3">
            <w:pPr>
              <w:pStyle w:val="12"/>
              <w:widowControl w:val="0"/>
              <w:spacing w:line="360" w:lineRule="auto"/>
              <w:rPr>
                <w:rFonts w:ascii="宋体"/>
                <w:color w:val="auto"/>
                <w:lang w:val="en-GB"/>
              </w:rPr>
            </w:pPr>
            <w:r>
              <w:rPr>
                <w:rFonts w:ascii="宋体"/>
                <w:color w:val="auto"/>
                <w:lang w:val="en-GB"/>
              </w:rPr>
              <w:t>其它安全设施</w:t>
            </w:r>
          </w:p>
        </w:tc>
        <w:tc>
          <w:tcPr>
            <w:tcW w:w="1197" w:type="pct"/>
            <w:vAlign w:val="center"/>
          </w:tcPr>
          <w:p w14:paraId="57352492">
            <w:pPr>
              <w:pStyle w:val="12"/>
              <w:widowControl w:val="0"/>
              <w:spacing w:line="360" w:lineRule="auto"/>
              <w:rPr>
                <w:rFonts w:ascii="宋体"/>
                <w:color w:val="auto"/>
              </w:rPr>
            </w:pPr>
            <w:r>
              <w:rPr>
                <w:rFonts w:hint="eastAsia" w:ascii="宋体" w:hAnsi="宋体" w:cs="宋体"/>
                <w:color w:val="auto"/>
              </w:rPr>
              <w:t>★</w:t>
            </w:r>
          </w:p>
        </w:tc>
        <w:tc>
          <w:tcPr>
            <w:tcW w:w="1170" w:type="pct"/>
            <w:vAlign w:val="center"/>
          </w:tcPr>
          <w:p w14:paraId="491D7E3D">
            <w:pPr>
              <w:pStyle w:val="12"/>
              <w:widowControl w:val="0"/>
              <w:spacing w:line="360" w:lineRule="auto"/>
              <w:rPr>
                <w:rFonts w:ascii="宋体"/>
                <w:color w:val="auto"/>
              </w:rPr>
            </w:pPr>
          </w:p>
        </w:tc>
        <w:tc>
          <w:tcPr>
            <w:tcW w:w="972" w:type="pct"/>
            <w:vAlign w:val="center"/>
          </w:tcPr>
          <w:p w14:paraId="4F7ABA85">
            <w:pPr>
              <w:pStyle w:val="12"/>
              <w:widowControl w:val="0"/>
              <w:spacing w:line="360" w:lineRule="auto"/>
              <w:rPr>
                <w:rFonts w:ascii="宋体"/>
                <w:color w:val="auto"/>
              </w:rPr>
            </w:pPr>
          </w:p>
        </w:tc>
      </w:tr>
    </w:tbl>
    <w:p w14:paraId="108DB4DB">
      <w:pPr>
        <w:pStyle w:val="10"/>
        <w:widowControl w:val="0"/>
        <w:spacing w:line="360" w:lineRule="auto"/>
        <w:ind w:firstLine="420"/>
        <w:rPr>
          <w:rFonts w:ascii="黑体" w:hAnsi="黑体" w:eastAsia="黑体"/>
          <w:color w:val="auto"/>
          <w:sz w:val="21"/>
          <w:szCs w:val="21"/>
          <w:u w:color="000000"/>
        </w:rPr>
      </w:pPr>
      <w:r>
        <w:rPr>
          <w:rFonts w:ascii="黑体" w:hAnsi="黑体" w:eastAsia="黑体"/>
          <w:color w:val="auto"/>
          <w:sz w:val="21"/>
          <w:szCs w:val="21"/>
          <w:u w:color="000000"/>
        </w:rPr>
        <w:t>注：表中“★”表示采用的评价方法。</w:t>
      </w:r>
    </w:p>
    <w:p w14:paraId="2992D4AC">
      <w:pPr>
        <w:rPr>
          <w:rFonts w:ascii="黑体" w:hAnsi="黑体" w:eastAsia="黑体"/>
          <w:color w:val="auto"/>
          <w:sz w:val="21"/>
          <w:szCs w:val="21"/>
          <w:u w:color="000000"/>
        </w:rPr>
      </w:pPr>
      <w:r>
        <w:rPr>
          <w:rFonts w:ascii="黑体" w:hAnsi="黑体" w:eastAsia="黑体"/>
          <w:color w:val="auto"/>
          <w:sz w:val="21"/>
          <w:szCs w:val="21"/>
          <w:u w:color="000000"/>
        </w:rPr>
        <w:br w:type="page"/>
      </w:r>
    </w:p>
    <w:p w14:paraId="548D8893">
      <w:pPr>
        <w:snapToGrid w:val="0"/>
        <w:spacing w:before="120" w:after="120" w:line="560" w:lineRule="exact"/>
        <w:jc w:val="center"/>
        <w:outlineLvl w:val="1"/>
        <w:rPr>
          <w:rFonts w:ascii="Calibri" w:hAnsi="Calibri" w:eastAsia="楷体_GB2312"/>
          <w:b/>
          <w:color w:val="auto"/>
          <w:kern w:val="0"/>
          <w:sz w:val="32"/>
          <w:szCs w:val="20"/>
        </w:rPr>
      </w:pPr>
      <w:bookmarkStart w:id="40" w:name="_Toc102633990"/>
      <w:bookmarkStart w:id="41" w:name="_Toc102633916"/>
      <w:bookmarkStart w:id="42" w:name="_Toc102634416"/>
      <w:bookmarkStart w:id="43" w:name="_Toc102634278"/>
      <w:r>
        <w:rPr>
          <w:rFonts w:hint="eastAsia" w:ascii="Calibri" w:hAnsi="Calibri" w:eastAsia="楷体_GB2312"/>
          <w:b/>
          <w:color w:val="auto"/>
          <w:kern w:val="0"/>
          <w:sz w:val="32"/>
          <w:szCs w:val="20"/>
          <w:lang w:val="en-US" w:eastAsia="zh-CN"/>
        </w:rPr>
        <w:t>三、</w:t>
      </w:r>
      <w:r>
        <w:rPr>
          <w:rFonts w:ascii="Calibri" w:hAnsi="Calibri" w:eastAsia="楷体_GB2312"/>
          <w:b/>
          <w:color w:val="auto"/>
          <w:kern w:val="0"/>
          <w:sz w:val="32"/>
          <w:szCs w:val="20"/>
        </w:rPr>
        <w:t xml:space="preserve"> 整改复查情况</w:t>
      </w:r>
      <w:r>
        <w:rPr>
          <w:rFonts w:hint="eastAsia" w:ascii="Calibri" w:hAnsi="Calibri" w:eastAsia="楷体_GB2312"/>
          <w:b/>
          <w:color w:val="auto"/>
          <w:kern w:val="0"/>
          <w:sz w:val="32"/>
          <w:szCs w:val="20"/>
        </w:rPr>
        <w:t>表</w:t>
      </w:r>
      <w:bookmarkEnd w:id="40"/>
      <w:bookmarkEnd w:id="41"/>
      <w:bookmarkEnd w:id="42"/>
      <w:bookmarkEnd w:id="43"/>
    </w:p>
    <w:p w14:paraId="3B36A54F">
      <w:pPr>
        <w:widowControl/>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表6.2-1</w:t>
      </w:r>
      <w:r>
        <w:rPr>
          <w:rFonts w:hint="eastAsia" w:eastAsia="黑体"/>
          <w:color w:val="auto"/>
          <w:kern w:val="0"/>
          <w:sz w:val="24"/>
          <w:szCs w:val="24"/>
          <w:u w:color="000000"/>
        </w:rPr>
        <w:t xml:space="preserve">  存在问题整改复查情况表</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3"/>
        <w:gridCol w:w="3133"/>
        <w:gridCol w:w="3414"/>
        <w:gridCol w:w="1392"/>
      </w:tblGrid>
      <w:tr w14:paraId="12BA1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342" w:type="pct"/>
            <w:vAlign w:val="center"/>
          </w:tcPr>
          <w:p w14:paraId="541B3596">
            <w:pPr>
              <w:pStyle w:val="12"/>
              <w:widowControl w:val="0"/>
              <w:spacing w:line="360" w:lineRule="auto"/>
              <w:rPr>
                <w:rFonts w:ascii="宋体" w:hAnsi="宋体"/>
                <w:b/>
                <w:bCs/>
                <w:color w:val="auto"/>
              </w:rPr>
            </w:pPr>
            <w:r>
              <w:rPr>
                <w:rFonts w:ascii="宋体" w:hAnsi="宋体"/>
                <w:b/>
                <w:bCs/>
                <w:color w:val="auto"/>
              </w:rPr>
              <w:t>序号</w:t>
            </w:r>
          </w:p>
        </w:tc>
        <w:tc>
          <w:tcPr>
            <w:tcW w:w="1838" w:type="pct"/>
            <w:vAlign w:val="center"/>
          </w:tcPr>
          <w:p w14:paraId="7D01A0AF">
            <w:pPr>
              <w:pStyle w:val="12"/>
              <w:widowControl w:val="0"/>
              <w:spacing w:line="360" w:lineRule="auto"/>
              <w:rPr>
                <w:rFonts w:ascii="宋体" w:hAnsi="宋体"/>
                <w:b/>
                <w:bCs/>
                <w:color w:val="auto"/>
              </w:rPr>
            </w:pPr>
            <w:r>
              <w:rPr>
                <w:rFonts w:ascii="宋体" w:hAnsi="宋体"/>
                <w:b/>
                <w:bCs/>
                <w:color w:val="auto"/>
              </w:rPr>
              <w:t>存在问题</w:t>
            </w:r>
          </w:p>
        </w:tc>
        <w:tc>
          <w:tcPr>
            <w:tcW w:w="2003" w:type="pct"/>
            <w:vAlign w:val="center"/>
          </w:tcPr>
          <w:p w14:paraId="28B8F66D">
            <w:pPr>
              <w:pStyle w:val="12"/>
              <w:widowControl w:val="0"/>
              <w:spacing w:line="360" w:lineRule="auto"/>
              <w:rPr>
                <w:rFonts w:ascii="宋体" w:hAnsi="宋体"/>
                <w:b/>
                <w:bCs/>
                <w:color w:val="auto"/>
              </w:rPr>
            </w:pPr>
            <w:r>
              <w:rPr>
                <w:rFonts w:ascii="宋体" w:hAnsi="宋体"/>
                <w:b/>
                <w:bCs/>
                <w:color w:val="auto"/>
              </w:rPr>
              <w:t>整改措施</w:t>
            </w:r>
          </w:p>
        </w:tc>
        <w:tc>
          <w:tcPr>
            <w:tcW w:w="816" w:type="pct"/>
            <w:vAlign w:val="center"/>
          </w:tcPr>
          <w:p w14:paraId="1B066026">
            <w:pPr>
              <w:pStyle w:val="12"/>
              <w:widowControl w:val="0"/>
              <w:spacing w:line="360" w:lineRule="auto"/>
              <w:rPr>
                <w:rFonts w:ascii="宋体" w:hAnsi="宋体"/>
                <w:b/>
                <w:bCs/>
                <w:color w:val="auto"/>
              </w:rPr>
            </w:pPr>
            <w:r>
              <w:rPr>
                <w:rFonts w:ascii="宋体" w:hAnsi="宋体"/>
                <w:b/>
                <w:bCs/>
                <w:color w:val="auto"/>
              </w:rPr>
              <w:t>复查情况</w:t>
            </w:r>
          </w:p>
        </w:tc>
      </w:tr>
      <w:tr w14:paraId="09EF8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342" w:type="pct"/>
            <w:vAlign w:val="center"/>
          </w:tcPr>
          <w:p w14:paraId="2EDB0FD8">
            <w:pPr>
              <w:widowControl/>
              <w:tabs>
                <w:tab w:val="left" w:pos="6120"/>
              </w:tabs>
              <w:adjustRightInd w:val="0"/>
              <w:spacing w:before="31" w:beforeLines="10" w:after="31" w:afterLines="10" w:line="320" w:lineRule="exact"/>
              <w:jc w:val="center"/>
              <w:textAlignment w:val="baseline"/>
              <w:rPr>
                <w:rFonts w:ascii="宋体" w:hAnsi="宋体"/>
                <w:bCs/>
                <w:color w:val="auto"/>
                <w:kern w:val="0"/>
                <w:position w:val="2"/>
                <w:szCs w:val="21"/>
                <w:u w:color="000000"/>
              </w:rPr>
            </w:pPr>
          </w:p>
        </w:tc>
        <w:tc>
          <w:tcPr>
            <w:tcW w:w="1838" w:type="pct"/>
            <w:vAlign w:val="center"/>
          </w:tcPr>
          <w:p w14:paraId="13A0B1AF">
            <w:pPr>
              <w:widowControl/>
              <w:tabs>
                <w:tab w:val="left" w:pos="6120"/>
              </w:tabs>
              <w:adjustRightInd w:val="0"/>
              <w:spacing w:before="31" w:beforeLines="10" w:after="31" w:afterLines="10" w:line="320" w:lineRule="exact"/>
              <w:jc w:val="center"/>
              <w:textAlignment w:val="baseline"/>
              <w:rPr>
                <w:rFonts w:hint="eastAsia" w:ascii="宋体" w:hAnsi="宋体" w:eastAsia="宋体" w:cs="宋体"/>
                <w:color w:val="auto"/>
                <w:kern w:val="0"/>
                <w:szCs w:val="21"/>
                <w:u w:color="000000"/>
                <w:lang w:val="en-US" w:eastAsia="zh-CN"/>
              </w:rPr>
            </w:pPr>
            <w:r>
              <w:rPr>
                <w:rFonts w:hint="eastAsia" w:ascii="宋体" w:hAnsi="宋体" w:cs="宋体"/>
                <w:color w:val="auto"/>
                <w:kern w:val="0"/>
                <w:szCs w:val="21"/>
                <w:u w:color="000000"/>
                <w:lang w:val="en-US" w:eastAsia="zh-CN"/>
              </w:rPr>
              <w:t>无</w:t>
            </w:r>
          </w:p>
        </w:tc>
        <w:tc>
          <w:tcPr>
            <w:tcW w:w="2003" w:type="pct"/>
            <w:vAlign w:val="center"/>
          </w:tcPr>
          <w:p w14:paraId="7FF37C27">
            <w:pPr>
              <w:widowControl/>
              <w:tabs>
                <w:tab w:val="left" w:pos="6120"/>
              </w:tabs>
              <w:adjustRightInd w:val="0"/>
              <w:spacing w:before="31" w:beforeLines="10" w:after="31" w:afterLines="10" w:line="320" w:lineRule="exact"/>
              <w:jc w:val="center"/>
              <w:textAlignment w:val="baseline"/>
              <w:rPr>
                <w:rFonts w:ascii="宋体" w:hAnsi="宋体" w:cs="宋体"/>
                <w:bCs/>
                <w:color w:val="auto"/>
                <w:szCs w:val="21"/>
              </w:rPr>
            </w:pPr>
          </w:p>
        </w:tc>
        <w:tc>
          <w:tcPr>
            <w:tcW w:w="816" w:type="pct"/>
            <w:vAlign w:val="center"/>
          </w:tcPr>
          <w:p w14:paraId="5835B694">
            <w:pPr>
              <w:spacing w:line="360" w:lineRule="auto"/>
              <w:jc w:val="center"/>
              <w:rPr>
                <w:rFonts w:ascii="宋体" w:hAnsi="宋体" w:cs="宋体"/>
                <w:bCs/>
                <w:color w:val="auto"/>
                <w:szCs w:val="21"/>
              </w:rPr>
            </w:pPr>
          </w:p>
        </w:tc>
      </w:tr>
      <w:tr w14:paraId="1EC4CC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45" w:hRule="atLeast"/>
          <w:jc w:val="center"/>
        </w:trPr>
        <w:tc>
          <w:tcPr>
            <w:tcW w:w="5000" w:type="pct"/>
            <w:gridSpan w:val="4"/>
            <w:vAlign w:val="center"/>
          </w:tcPr>
          <w:p w14:paraId="06AD9BAB">
            <w:pPr>
              <w:pStyle w:val="10"/>
              <w:widowControl w:val="0"/>
              <w:spacing w:line="360" w:lineRule="auto"/>
              <w:ind w:firstLine="420"/>
              <w:jc w:val="left"/>
              <w:rPr>
                <w:rFonts w:ascii="宋体" w:hAnsi="宋体" w:cs="宋体"/>
                <w:color w:val="auto"/>
                <w:kern w:val="2"/>
                <w:szCs w:val="22"/>
              </w:rPr>
            </w:pPr>
            <w:r>
              <w:rPr>
                <w:rFonts w:hint="eastAsia" w:ascii="宋体" w:hAnsi="宋体" w:cs="宋体"/>
                <w:color w:val="auto"/>
                <w:kern w:val="2"/>
                <w:sz w:val="21"/>
                <w:szCs w:val="21"/>
              </w:rPr>
              <w:t>经复查，被评价单位尚有A项（0）项不符合，B项（0）项不符合。符合相关法律法规、标准规范的要求，该加油站现有风险程度可以接受。</w:t>
            </w:r>
          </w:p>
          <w:p w14:paraId="41C97EF1">
            <w:pPr>
              <w:pStyle w:val="16"/>
              <w:spacing w:line="360" w:lineRule="auto"/>
              <w:rPr>
                <w:rFonts w:ascii="宋体" w:hAnsi="宋体" w:cs="宋体"/>
                <w:color w:val="auto"/>
              </w:rPr>
            </w:pPr>
          </w:p>
          <w:p w14:paraId="19A6281B">
            <w:pPr>
              <w:pStyle w:val="10"/>
              <w:widowControl w:val="0"/>
              <w:spacing w:line="360" w:lineRule="auto"/>
              <w:ind w:firstLine="199" w:firstLineChars="95"/>
              <w:rPr>
                <w:rFonts w:ascii="宋体" w:hAnsi="宋体" w:cs="宋体"/>
                <w:color w:val="auto"/>
                <w:kern w:val="2"/>
                <w:sz w:val="21"/>
                <w:szCs w:val="21"/>
              </w:rPr>
            </w:pPr>
            <w:r>
              <w:rPr>
                <w:rFonts w:hint="eastAsia" w:ascii="宋体" w:hAnsi="宋体" w:cs="宋体"/>
                <w:color w:val="auto"/>
                <w:kern w:val="2"/>
                <w:sz w:val="21"/>
                <w:szCs w:val="21"/>
              </w:rPr>
              <w:t>评价单位检查人员（签字）：</w:t>
            </w:r>
          </w:p>
          <w:p w14:paraId="0E40A91B">
            <w:pPr>
              <w:pStyle w:val="16"/>
              <w:spacing w:line="360" w:lineRule="auto"/>
              <w:rPr>
                <w:rFonts w:ascii="宋体" w:hAnsi="宋体" w:cs="宋体"/>
                <w:color w:val="auto"/>
              </w:rPr>
            </w:pPr>
          </w:p>
          <w:p w14:paraId="1AC288F1">
            <w:pPr>
              <w:pStyle w:val="16"/>
              <w:spacing w:line="360" w:lineRule="auto"/>
              <w:rPr>
                <w:rFonts w:ascii="宋体" w:hAnsi="宋体" w:cs="宋体"/>
                <w:color w:val="auto"/>
              </w:rPr>
            </w:pPr>
          </w:p>
          <w:p w14:paraId="02992D74">
            <w:pPr>
              <w:pStyle w:val="16"/>
              <w:spacing w:line="360" w:lineRule="auto"/>
              <w:rPr>
                <w:rFonts w:ascii="宋体" w:hAnsi="宋体" w:cs="宋体"/>
                <w:color w:val="auto"/>
              </w:rPr>
            </w:pPr>
          </w:p>
          <w:p w14:paraId="181EB7B1">
            <w:pPr>
              <w:pStyle w:val="10"/>
              <w:widowControl w:val="0"/>
              <w:spacing w:line="360" w:lineRule="auto"/>
              <w:ind w:firstLine="0" w:firstLineChars="0"/>
              <w:jc w:val="center"/>
              <w:rPr>
                <w:rFonts w:ascii="宋体" w:hAnsi="宋体" w:cs="宋体"/>
                <w:color w:val="auto"/>
                <w:kern w:val="2"/>
                <w:sz w:val="21"/>
                <w:szCs w:val="21"/>
              </w:rPr>
            </w:pPr>
            <w:r>
              <w:rPr>
                <w:rFonts w:hint="eastAsia" w:ascii="宋体" w:hAnsi="宋体" w:cs="宋体"/>
                <w:color w:val="auto"/>
                <w:kern w:val="2"/>
                <w:sz w:val="21"/>
                <w:szCs w:val="21"/>
              </w:rPr>
              <w:t xml:space="preserve">                                                           年    月    日 </w:t>
            </w:r>
          </w:p>
          <w:p w14:paraId="381E636B">
            <w:pPr>
              <w:pStyle w:val="10"/>
              <w:widowControl w:val="0"/>
              <w:spacing w:line="360" w:lineRule="auto"/>
              <w:ind w:firstLine="0" w:firstLineChars="0"/>
              <w:jc w:val="center"/>
              <w:rPr>
                <w:rFonts w:ascii="宋体" w:hAnsi="宋体" w:cs="宋体"/>
                <w:color w:val="auto"/>
                <w:kern w:val="2"/>
                <w:sz w:val="21"/>
                <w:szCs w:val="21"/>
              </w:rPr>
            </w:pPr>
            <w:r>
              <w:rPr>
                <w:rFonts w:hint="eastAsia" w:ascii="宋体" w:hAnsi="宋体"/>
                <w:color w:val="auto"/>
                <w:kern w:val="2"/>
                <w:sz w:val="21"/>
                <w:szCs w:val="21"/>
              </w:rPr>
              <w:t xml:space="preserve">                                                            </w:t>
            </w:r>
            <w:r>
              <w:rPr>
                <w:rFonts w:ascii="宋体" w:hAnsi="宋体"/>
                <w:color w:val="auto"/>
                <w:kern w:val="2"/>
                <w:sz w:val="21"/>
                <w:szCs w:val="21"/>
              </w:rPr>
              <w:t>（单位盖章）</w:t>
            </w:r>
            <w:r>
              <w:rPr>
                <w:rFonts w:hint="eastAsia" w:ascii="宋体" w:hAnsi="宋体" w:cs="宋体"/>
                <w:color w:val="auto"/>
                <w:kern w:val="2"/>
                <w:sz w:val="21"/>
                <w:szCs w:val="21"/>
              </w:rPr>
              <w:t xml:space="preserve">                                                        </w:t>
            </w:r>
          </w:p>
        </w:tc>
      </w:tr>
      <w:tr w14:paraId="74CE13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15" w:hRule="atLeast"/>
          <w:jc w:val="center"/>
        </w:trPr>
        <w:tc>
          <w:tcPr>
            <w:tcW w:w="5000" w:type="pct"/>
            <w:gridSpan w:val="4"/>
          </w:tcPr>
          <w:p w14:paraId="5BA8892D">
            <w:pPr>
              <w:pStyle w:val="16"/>
              <w:spacing w:line="360" w:lineRule="auto"/>
              <w:rPr>
                <w:rFonts w:ascii="宋体" w:hAnsi="宋体"/>
                <w:color w:val="auto"/>
              </w:rPr>
            </w:pPr>
          </w:p>
          <w:p w14:paraId="2ADAFC66">
            <w:pPr>
              <w:pStyle w:val="10"/>
              <w:widowControl w:val="0"/>
              <w:spacing w:line="360" w:lineRule="auto"/>
              <w:ind w:firstLine="199" w:firstLineChars="95"/>
              <w:rPr>
                <w:rFonts w:ascii="宋体" w:hAnsi="宋体"/>
                <w:color w:val="auto"/>
                <w:kern w:val="2"/>
                <w:sz w:val="21"/>
                <w:szCs w:val="21"/>
              </w:rPr>
            </w:pPr>
            <w:r>
              <w:rPr>
                <w:rFonts w:ascii="宋体" w:hAnsi="宋体"/>
                <w:color w:val="auto"/>
                <w:kern w:val="2"/>
                <w:sz w:val="21"/>
                <w:szCs w:val="21"/>
              </w:rPr>
              <w:t>被评价单位主要负责人确认（签字）：</w:t>
            </w:r>
          </w:p>
          <w:p w14:paraId="464AB9B7">
            <w:pPr>
              <w:pStyle w:val="10"/>
              <w:widowControl w:val="0"/>
              <w:spacing w:line="360" w:lineRule="auto"/>
              <w:ind w:firstLine="0" w:firstLineChars="0"/>
              <w:jc w:val="center"/>
              <w:rPr>
                <w:rFonts w:ascii="宋体" w:hAnsi="宋体"/>
                <w:color w:val="auto"/>
                <w:kern w:val="2"/>
                <w:sz w:val="21"/>
                <w:szCs w:val="21"/>
              </w:rPr>
            </w:pPr>
          </w:p>
          <w:p w14:paraId="68D4CF15">
            <w:pPr>
              <w:pStyle w:val="10"/>
              <w:widowControl w:val="0"/>
              <w:spacing w:line="360" w:lineRule="auto"/>
              <w:ind w:firstLine="0" w:firstLineChars="0"/>
              <w:jc w:val="center"/>
              <w:rPr>
                <w:rFonts w:ascii="宋体" w:hAnsi="宋体"/>
                <w:color w:val="auto"/>
                <w:kern w:val="2"/>
                <w:sz w:val="21"/>
                <w:szCs w:val="21"/>
              </w:rPr>
            </w:pPr>
          </w:p>
          <w:p w14:paraId="1E330C31">
            <w:pPr>
              <w:pStyle w:val="10"/>
              <w:widowControl w:val="0"/>
              <w:spacing w:line="360" w:lineRule="auto"/>
              <w:ind w:firstLine="0" w:firstLineChars="0"/>
              <w:jc w:val="center"/>
              <w:rPr>
                <w:rFonts w:ascii="宋体" w:hAnsi="宋体"/>
                <w:color w:val="auto"/>
                <w:kern w:val="2"/>
                <w:sz w:val="21"/>
                <w:szCs w:val="21"/>
              </w:rPr>
            </w:pPr>
          </w:p>
          <w:p w14:paraId="77EFB401">
            <w:pPr>
              <w:pStyle w:val="10"/>
              <w:widowControl w:val="0"/>
              <w:spacing w:line="360" w:lineRule="auto"/>
              <w:ind w:firstLine="0" w:firstLineChars="0"/>
              <w:jc w:val="center"/>
              <w:rPr>
                <w:rFonts w:ascii="宋体" w:hAnsi="宋体"/>
                <w:color w:val="auto"/>
                <w:kern w:val="2"/>
                <w:sz w:val="21"/>
                <w:szCs w:val="21"/>
              </w:rPr>
            </w:pPr>
          </w:p>
          <w:p w14:paraId="153166EC">
            <w:pPr>
              <w:pStyle w:val="10"/>
              <w:widowControl w:val="0"/>
              <w:tabs>
                <w:tab w:val="left" w:pos="6690"/>
              </w:tabs>
              <w:spacing w:line="360" w:lineRule="auto"/>
              <w:ind w:firstLine="0" w:firstLineChars="0"/>
              <w:jc w:val="center"/>
              <w:rPr>
                <w:rFonts w:ascii="宋体" w:hAnsi="宋体"/>
                <w:color w:val="auto"/>
                <w:kern w:val="2"/>
                <w:sz w:val="21"/>
                <w:szCs w:val="21"/>
              </w:rPr>
            </w:pPr>
            <w:r>
              <w:rPr>
                <w:rFonts w:hint="eastAsia" w:ascii="宋体" w:hAnsi="宋体"/>
                <w:color w:val="auto"/>
                <w:kern w:val="2"/>
                <w:sz w:val="21"/>
                <w:szCs w:val="21"/>
              </w:rPr>
              <w:t xml:space="preserve">                                                            </w:t>
            </w:r>
            <w:r>
              <w:rPr>
                <w:rFonts w:ascii="宋体" w:hAnsi="宋体"/>
                <w:color w:val="auto"/>
                <w:kern w:val="2"/>
                <w:sz w:val="21"/>
                <w:szCs w:val="21"/>
              </w:rPr>
              <w:t xml:space="preserve">年 </w:t>
            </w:r>
            <w:r>
              <w:rPr>
                <w:rFonts w:hint="eastAsia" w:ascii="宋体" w:hAnsi="宋体"/>
                <w:color w:val="auto"/>
                <w:kern w:val="2"/>
                <w:sz w:val="21"/>
                <w:szCs w:val="21"/>
              </w:rPr>
              <w:t xml:space="preserve">   </w:t>
            </w:r>
            <w:r>
              <w:rPr>
                <w:rFonts w:ascii="宋体" w:hAnsi="宋体"/>
                <w:color w:val="auto"/>
                <w:kern w:val="2"/>
                <w:sz w:val="21"/>
                <w:szCs w:val="21"/>
              </w:rPr>
              <w:t>月</w:t>
            </w:r>
            <w:r>
              <w:rPr>
                <w:rFonts w:hint="eastAsia" w:ascii="宋体" w:hAnsi="宋体"/>
                <w:color w:val="auto"/>
                <w:kern w:val="2"/>
                <w:sz w:val="21"/>
                <w:szCs w:val="21"/>
              </w:rPr>
              <w:t xml:space="preserve">    </w:t>
            </w:r>
            <w:r>
              <w:rPr>
                <w:rFonts w:ascii="宋体" w:hAnsi="宋体"/>
                <w:color w:val="auto"/>
                <w:kern w:val="2"/>
                <w:sz w:val="21"/>
                <w:szCs w:val="21"/>
              </w:rPr>
              <w:t xml:space="preserve">日 </w:t>
            </w:r>
          </w:p>
          <w:p w14:paraId="10F4F540">
            <w:pPr>
              <w:pStyle w:val="10"/>
              <w:widowControl w:val="0"/>
              <w:spacing w:line="360" w:lineRule="auto"/>
              <w:ind w:firstLine="0" w:firstLineChars="0"/>
              <w:jc w:val="center"/>
              <w:rPr>
                <w:rFonts w:ascii="宋体" w:hAnsi="宋体"/>
                <w:color w:val="auto"/>
                <w:kern w:val="2"/>
                <w:sz w:val="21"/>
                <w:szCs w:val="21"/>
              </w:rPr>
            </w:pPr>
            <w:r>
              <w:rPr>
                <w:rFonts w:ascii="宋体" w:hAnsi="宋体"/>
                <w:color w:val="auto"/>
                <w:kern w:val="2"/>
                <w:sz w:val="21"/>
                <w:szCs w:val="21"/>
              </w:rPr>
              <w:t xml:space="preserve">                                      </w:t>
            </w:r>
            <w:r>
              <w:rPr>
                <w:rFonts w:hint="eastAsia" w:ascii="宋体" w:hAnsi="宋体"/>
                <w:color w:val="auto"/>
                <w:kern w:val="2"/>
                <w:sz w:val="21"/>
                <w:szCs w:val="21"/>
              </w:rPr>
              <w:t xml:space="preserve">                         </w:t>
            </w:r>
            <w:r>
              <w:rPr>
                <w:rFonts w:ascii="宋体" w:hAnsi="宋体"/>
                <w:color w:val="auto"/>
                <w:kern w:val="2"/>
                <w:sz w:val="21"/>
                <w:szCs w:val="21"/>
              </w:rPr>
              <w:t>（单位盖章）</w:t>
            </w:r>
          </w:p>
        </w:tc>
      </w:tr>
    </w:tbl>
    <w:p w14:paraId="35BAB324">
      <w:pPr>
        <w:pStyle w:val="10"/>
        <w:widowControl w:val="0"/>
        <w:spacing w:line="360" w:lineRule="auto"/>
        <w:ind w:firstLine="420"/>
        <w:rPr>
          <w:rFonts w:ascii="黑体" w:hAnsi="黑体" w:eastAsia="黑体"/>
          <w:color w:val="auto"/>
          <w:sz w:val="21"/>
          <w:szCs w:val="21"/>
          <w:u w:color="000000"/>
        </w:rPr>
      </w:pPr>
    </w:p>
    <w:p w14:paraId="5A7A0101">
      <w:pPr>
        <w:rPr>
          <w:rFonts w:hint="eastAsia"/>
          <w:lang w:eastAsia="zh-CN"/>
        </w:rPr>
      </w:pPr>
      <w:r>
        <w:rPr>
          <w:rFonts w:hint="eastAsia"/>
          <w:lang w:eastAsia="zh-CN"/>
        </w:rPr>
        <w:br w:type="page"/>
      </w:r>
    </w:p>
    <w:p w14:paraId="618DE727">
      <w:pPr>
        <w:widowControl w:val="0"/>
        <w:adjustRightInd w:val="0"/>
        <w:snapToGrid w:val="0"/>
        <w:spacing w:line="360" w:lineRule="auto"/>
        <w:ind w:firstLine="562" w:firstLineChars="200"/>
        <w:jc w:val="both"/>
        <w:rPr>
          <w:rFonts w:ascii="Times New Roman" w:hAnsi="Times New Roman" w:eastAsia="宋体" w:cs="Times New Roman"/>
          <w:b/>
          <w:bCs/>
          <w:color w:val="000000" w:themeColor="text1"/>
          <w:sz w:val="28"/>
          <w:lang w:val="en-US" w:eastAsia="zh-CN" w:bidi="ar-SA"/>
          <w14:textFill>
            <w14:solidFill>
              <w14:schemeClr w14:val="tx1"/>
            </w14:solidFill>
          </w14:textFill>
        </w:rPr>
      </w:pPr>
      <w:r>
        <w:rPr>
          <w:rFonts w:ascii="Times New Roman" w:hAnsi="Times New Roman" w:eastAsia="宋体" w:cs="Times New Roman"/>
          <w:b/>
          <w:bCs/>
          <w:color w:val="000000" w:themeColor="text1"/>
          <w:sz w:val="28"/>
          <w:lang w:val="en-US" w:eastAsia="zh-CN" w:bidi="ar-SA"/>
          <w14:textFill>
            <w14:solidFill>
              <w14:schemeClr w14:val="tx1"/>
            </w14:solidFill>
          </w14:textFill>
        </w:rPr>
        <w:drawing>
          <wp:inline distT="0" distB="0" distL="114300" distR="114300">
            <wp:extent cx="5266690" cy="7456805"/>
            <wp:effectExtent l="0" t="0" r="3810" b="10795"/>
            <wp:docPr id="3" name="图片 3" descr="扫描件_经营危险化学品安全评价报告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件_经营危险化学品安全评价报告_页面_1"/>
                    <pic:cNvPicPr>
                      <a:picLocks noChangeAspect="1"/>
                    </pic:cNvPicPr>
                  </pic:nvPicPr>
                  <pic:blipFill>
                    <a:blip r:embed="rId6"/>
                    <a:stretch>
                      <a:fillRect/>
                    </a:stretch>
                  </pic:blipFill>
                  <pic:spPr>
                    <a:xfrm>
                      <a:off x="0" y="0"/>
                      <a:ext cx="5266690" cy="7456805"/>
                    </a:xfrm>
                    <a:prstGeom prst="rect">
                      <a:avLst/>
                    </a:prstGeom>
                  </pic:spPr>
                </pic:pic>
              </a:graphicData>
            </a:graphic>
          </wp:inline>
        </w:drawing>
      </w:r>
    </w:p>
    <w:p w14:paraId="00E88A3C">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MjgwYTYyNTFiZTM2NjFjYWJjMTE0Zjc2NGE3ZWQifQ=="/>
  </w:docVars>
  <w:rsids>
    <w:rsidRoot w:val="5EC474DA"/>
    <w:rsid w:val="02F606EC"/>
    <w:rsid w:val="08484C58"/>
    <w:rsid w:val="1196496B"/>
    <w:rsid w:val="11EA344F"/>
    <w:rsid w:val="1B0E0AEC"/>
    <w:rsid w:val="205760E3"/>
    <w:rsid w:val="266F14EB"/>
    <w:rsid w:val="462C10A4"/>
    <w:rsid w:val="50D47816"/>
    <w:rsid w:val="555969E5"/>
    <w:rsid w:val="5684380C"/>
    <w:rsid w:val="5EC474DA"/>
    <w:rsid w:val="60C93880"/>
    <w:rsid w:val="630C73A4"/>
    <w:rsid w:val="66457F90"/>
    <w:rsid w:val="6CD63790"/>
    <w:rsid w:val="6D432C87"/>
    <w:rsid w:val="6FB138EC"/>
    <w:rsid w:val="75BD77DF"/>
    <w:rsid w:val="7A680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111"/>
    <w:autoRedefine/>
    <w:qFormat/>
    <w:uiPriority w:val="0"/>
    <w:pPr>
      <w:widowControl w:val="0"/>
      <w:spacing w:before="100" w:beforeAutospacing="1" w:after="100" w:afterAutospacing="1"/>
      <w:jc w:val="center"/>
      <w:outlineLvl w:val="0"/>
    </w:pPr>
    <w:rPr>
      <w:rFonts w:ascii="Times New Roman" w:hAnsi="Times New Roman" w:eastAsia="宋体" w:cs="Times New Roman"/>
      <w:kern w:val="2"/>
      <w:sz w:val="32"/>
      <w:szCs w:val="32"/>
      <w:lang w:val="en-US" w:eastAsia="zh-CN" w:bidi="ar-SA"/>
    </w:rPr>
  </w:style>
  <w:style w:type="paragraph" w:styleId="3">
    <w:name w:val="Normal Indent"/>
    <w:autoRedefine/>
    <w:qFormat/>
    <w:uiPriority w:val="0"/>
    <w:pPr>
      <w:widowControl w:val="0"/>
      <w:ind w:firstLine="420" w:firstLineChars="200"/>
      <w:jc w:val="both"/>
    </w:pPr>
    <w:rPr>
      <w:rFonts w:ascii="Times New Roman" w:hAnsi="Times New Roman" w:eastAsia="宋体" w:cs="Times New Roman"/>
      <w:kern w:val="2"/>
      <w:sz w:val="28"/>
      <w:szCs w:val="20"/>
      <w:u w:color="000000"/>
      <w:lang w:val="en-US" w:eastAsia="zh-CN" w:bidi="ar-SA"/>
    </w:rPr>
  </w:style>
  <w:style w:type="paragraph" w:styleId="4">
    <w:name w:val="Plain Text"/>
    <w:autoRedefine/>
    <w:unhideWhenUsed/>
    <w:qFormat/>
    <w:uiPriority w:val="99"/>
    <w:pPr>
      <w:widowControl w:val="0"/>
      <w:jc w:val="both"/>
    </w:pPr>
    <w:rPr>
      <w:rFonts w:ascii="宋体" w:hAnsi="Courier New" w:eastAsia="宋体" w:cs="Times New Roman"/>
      <w:kern w:val="0"/>
      <w:sz w:val="20"/>
      <w:szCs w:val="20"/>
      <w:lang w:val="en-US" w:eastAsia="zh-CN" w:bidi="ar-SA"/>
    </w:rPr>
  </w:style>
  <w:style w:type="paragraph" w:styleId="5">
    <w:name w:val="header"/>
    <w:autoRedefine/>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paragraph" w:customStyle="1" w:styleId="8">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
    <w:name w:val="题目"/>
    <w:autoRedefine/>
    <w:qFormat/>
    <w:uiPriority w:val="0"/>
    <w:pPr>
      <w:widowControl w:val="0"/>
      <w:jc w:val="center"/>
      <w:outlineLvl w:val="0"/>
    </w:pPr>
    <w:rPr>
      <w:rFonts w:ascii="黑体" w:hAnsi="黑体" w:eastAsia="黑体" w:cs="Times New Roman"/>
      <w:kern w:val="2"/>
      <w:sz w:val="32"/>
      <w:szCs w:val="32"/>
      <w:lang w:val="en-US" w:eastAsia="zh-CN" w:bidi="ar-SA"/>
    </w:rPr>
  </w:style>
  <w:style w:type="paragraph" w:customStyle="1" w:styleId="10">
    <w:name w:val="6评价正文"/>
    <w:autoRedefine/>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1">
    <w:name w:val="5标题评价表格"/>
    <w:autoRedefine/>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2">
    <w:name w:val="5内容评价表格"/>
    <w:autoRedefine/>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13">
    <w:name w:val="7评价备注"/>
    <w:autoRedefine/>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14">
    <w:name w:val="1评价标题"/>
    <w:autoRedefine/>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5">
    <w:name w:val="3评价标题"/>
    <w:autoRedefine/>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16">
    <w:name w:val="表内文字"/>
    <w:autoRedefine/>
    <w:qFormat/>
    <w:uiPriority w:val="0"/>
    <w:pPr>
      <w:widowControl w:val="0"/>
      <w:spacing w:line="320" w:lineRule="exact"/>
      <w:jc w:val="center"/>
    </w:pPr>
    <w:rPr>
      <w:rFonts w:ascii="Times New Roman" w:hAnsi="Times New Roman" w:eastAsia="宋体" w:cs="Times New Roman"/>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3069</Words>
  <Characters>3338</Characters>
  <Lines>0</Lines>
  <Paragraphs>0</Paragraphs>
  <TotalTime>5</TotalTime>
  <ScaleCrop>false</ScaleCrop>
  <LinksUpToDate>false</LinksUpToDate>
  <CharactersWithSpaces>3671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2021-07-19T00:24:00Z</dcterms:created>
  <dc:creator>管理员</dc:creator>
  <cp:lastModifiedBy>心晴</cp:lastModifiedBy>
  <dcterms:modified xsi:type="dcterms:W3CDTF">2024-11-29T01:46:13Z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5775F4A403054A529086BB5E43727335_13</vt:lpwstr>
  </property>
</Properties>
</file>