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6C96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"/>
        <w:gridCol w:w="1094"/>
        <w:gridCol w:w="568"/>
        <w:gridCol w:w="5529"/>
        <w:gridCol w:w="2038"/>
      </w:tblGrid>
      <w:tr w14:paraId="10C1A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C3F04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EA298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bookmarkStart w:id="1" w:name="_GoBack"/>
            <w:r>
              <w:rPr>
                <w:rFonts w:hint="eastAsia" w:ascii="宋体" w:hAnsi="宋体" w:cs="宋体"/>
                <w:sz w:val="24"/>
                <w:lang w:eastAsia="zh-CN"/>
              </w:rPr>
              <w:t>江西嘉源香料有限公司300t/a覆盆子酮、100t/a别罗勒烯及100t/a4-甲基邻苯二酚项目（100t/a别罗勒烯）变更</w:t>
            </w:r>
            <w:r>
              <w:rPr>
                <w:rFonts w:hint="eastAsia" w:ascii="宋体" w:hAnsi="宋体" w:cs="宋体"/>
                <w:sz w:val="24"/>
              </w:rPr>
              <w:t xml:space="preserve">安全条件评价报告 </w:t>
            </w:r>
            <w:bookmarkEnd w:id="1"/>
          </w:p>
        </w:tc>
      </w:tr>
      <w:tr w14:paraId="7C70B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256A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B2DF91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1FEF3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351" w:type="dxa"/>
            <w:gridSpan w:val="5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5F285B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73AF0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5198C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FCF58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EA31E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EA4DF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637EA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26F3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367828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熊克书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7A9CC9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S011035000110192001546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AC5E0A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027024</w:t>
            </w:r>
          </w:p>
        </w:tc>
      </w:tr>
      <w:tr w14:paraId="32AF2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16" w:type="dxa"/>
            <w:gridSpan w:val="2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D15B6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EAE1F6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舒斌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81A8B7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0800000000205889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72F677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013031</w:t>
            </w:r>
          </w:p>
        </w:tc>
      </w:tr>
      <w:tr w14:paraId="41B0F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16" w:type="dxa"/>
            <w:gridSpan w:val="2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28AB3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7F2B17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张晋慧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FF5ADD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1100000000302946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84D5D8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0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20045</w:t>
            </w:r>
          </w:p>
        </w:tc>
      </w:tr>
      <w:tr w14:paraId="0950D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16" w:type="dxa"/>
            <w:gridSpan w:val="2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EF471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15C0C6C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吴红玉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3A564E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1200000000300398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FBF4E7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025175</w:t>
            </w:r>
          </w:p>
        </w:tc>
      </w:tr>
      <w:tr w14:paraId="35644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16" w:type="dxa"/>
            <w:gridSpan w:val="2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360202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56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6BD952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岳强</w:t>
            </w:r>
          </w:p>
        </w:tc>
        <w:tc>
          <w:tcPr>
            <w:tcW w:w="55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D3C440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0800000000102212</w:t>
            </w:r>
          </w:p>
        </w:tc>
        <w:tc>
          <w:tcPr>
            <w:tcW w:w="20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5B4028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002352</w:t>
            </w:r>
          </w:p>
        </w:tc>
      </w:tr>
      <w:tr w14:paraId="13AD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7DE06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3A299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053C8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DC20D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4DAA1E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5.02.15</w:t>
            </w:r>
          </w:p>
        </w:tc>
      </w:tr>
      <w:tr w14:paraId="6D467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E1029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625CBD">
            <w:pPr>
              <w:widowControl/>
              <w:spacing w:after="150"/>
              <w:jc w:val="center"/>
              <w:rPr>
                <w:rFonts w:hint="eastAsia" w:ascii="Times New Roman" w:hAnsi="Times New Roman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宋体" w:hAnsi="宋体" w:eastAsia="仿宋_GB2312" w:cs="宋体"/>
                <w:sz w:val="24"/>
                <w:lang w:val="en-US" w:eastAsia="zh-CN"/>
              </w:rPr>
              <w:t>/</w:t>
            </w:r>
          </w:p>
        </w:tc>
      </w:tr>
      <w:tr w14:paraId="4B2A3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675B8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A67FBBC"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江西嘉源香料有限公司</w:t>
            </w:r>
            <w:r>
              <w:rPr>
                <w:rFonts w:hint="eastAsia"/>
                <w:sz w:val="24"/>
              </w:rPr>
              <w:t>成立于</w:t>
            </w:r>
            <w:r>
              <w:rPr>
                <w:rFonts w:hint="eastAsia"/>
                <w:sz w:val="24"/>
                <w:lang w:eastAsia="zh-CN"/>
              </w:rPr>
              <w:t>2011年5月11日</w:t>
            </w:r>
            <w:r>
              <w:rPr>
                <w:rFonts w:hint="eastAsia"/>
                <w:sz w:val="24"/>
              </w:rPr>
              <w:t>并取得营业执照，统一社会信用代码：</w:t>
            </w:r>
            <w:r>
              <w:rPr>
                <w:rFonts w:hint="eastAsia"/>
                <w:sz w:val="24"/>
                <w:lang w:eastAsia="zh-CN"/>
              </w:rPr>
              <w:t>913608225736332862</w:t>
            </w:r>
            <w:r>
              <w:rPr>
                <w:rFonts w:hint="eastAsia"/>
                <w:sz w:val="24"/>
              </w:rPr>
              <w:t>。公司类型：</w:t>
            </w:r>
            <w:r>
              <w:rPr>
                <w:rFonts w:hint="eastAsia"/>
                <w:sz w:val="24"/>
                <w:lang w:eastAsia="zh-CN"/>
              </w:rPr>
              <w:t>有限责任公司(自然人独资)</w:t>
            </w:r>
            <w:r>
              <w:rPr>
                <w:rFonts w:hint="eastAsia"/>
                <w:sz w:val="24"/>
              </w:rPr>
              <w:t>，法定代表人：</w:t>
            </w:r>
            <w:r>
              <w:rPr>
                <w:rFonts w:hint="eastAsia"/>
                <w:sz w:val="24"/>
                <w:lang w:eastAsia="zh-CN"/>
              </w:rPr>
              <w:t>胡明华</w:t>
            </w:r>
            <w:r>
              <w:rPr>
                <w:rFonts w:hint="eastAsia"/>
                <w:sz w:val="24"/>
              </w:rPr>
              <w:t>。注册资本：壹仟万元整。公司注册地址</w:t>
            </w:r>
            <w:r>
              <w:rPr>
                <w:rFonts w:hint="eastAsia"/>
                <w:sz w:val="24"/>
                <w:lang w:eastAsia="zh-CN"/>
              </w:rPr>
              <w:t>：江西省吉安市吉水县城西工业园白沙路与白水路连接线南侧，</w:t>
            </w:r>
            <w:r>
              <w:rPr>
                <w:rFonts w:hint="eastAsia"/>
                <w:sz w:val="24"/>
                <w:lang w:val="en-US" w:eastAsia="zh-CN"/>
              </w:rPr>
              <w:t>不在化工园区四至范围内，属于《关于公布第一批化工重点监测点名单的通知》（吉市工信安全〔2023〕6号）中的重点监测点企业</w:t>
            </w:r>
            <w:r>
              <w:rPr>
                <w:rFonts w:hint="eastAsia"/>
                <w:sz w:val="24"/>
              </w:rPr>
              <w:t>。</w:t>
            </w:r>
          </w:p>
          <w:p w14:paraId="2C43F0C7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江西嘉源香料有限公司现有4kt/a香料香精、700t/a吐纳麝香生产线和600t/a 2,4-二乙基噻唑酮生产线，2024年进行安全生产许可证延期换证，有效期：2024年12月17日至2027年12月16日，许可范围：罗勒烯(200t/a)、双戊烯(200t/a)、别罗勒烯(80t/a)、吐纳麝香(700t/a)、2,4-二乙基噻唑酮(600t/a)。</w:t>
            </w:r>
          </w:p>
          <w:p w14:paraId="2A49B984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根据《国民经济行业分类》GB/T 4754-2017、《国民经济行业分类》国家标准第1号修改单GB/T 4754-2017/XG1-2019，项目属于C26化学原料和化学制品制造业84项香料、香精制造。</w:t>
            </w:r>
          </w:p>
          <w:p w14:paraId="262FE96B">
            <w:pPr>
              <w:ind w:firstLine="560"/>
              <w:rPr>
                <w:sz w:val="24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项目涉及的三氯化铝、盐酸、异丙醇、氢氧化钠溶液、硫酸、叔丁基氯、对伞花烃、二氯乙烷、二氯甲烷、乙酰氯、乙醇、2,3-二甲基-1-丁烯、环己烷、甲苯、间二乙苯、氮[压缩的]、异丁烷（尾气）、氯化氢（尾气）均属于危险化学品</w:t>
            </w:r>
            <w:r>
              <w:rPr>
                <w:rFonts w:hint="eastAsia" w:eastAsia="宋体" w:cs="Times New Roman"/>
                <w:sz w:val="24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涉及的硫酸、盐酸、甲苯属于第三类易制毒化学品</w:t>
            </w:r>
            <w:r>
              <w:rPr>
                <w:rFonts w:hint="eastAsia" w:cs="Times New Roman"/>
                <w:sz w:val="24"/>
                <w:lang w:val="en-US" w:eastAsia="zh-CN"/>
              </w:rPr>
              <w:t>；项目涉及的乙醇属于特别管控危险化学品；项目涉及的甲苯、天然气（燃料）属于重点监管的危险化学品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</w:t>
            </w:r>
            <w:r>
              <w:rPr>
                <w:rFonts w:hint="eastAsia" w:eastAsia="宋体" w:cs="Times New Roman"/>
                <w:sz w:val="24"/>
              </w:rPr>
              <w:t>不构成危险化学品重大危险源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项目不涉及重点监管的危险化工工艺。</w:t>
            </w:r>
          </w:p>
        </w:tc>
      </w:tr>
      <w:tr w14:paraId="14CFE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9" w:hRule="atLeast"/>
          <w:jc w:val="center"/>
        </w:trPr>
        <w:tc>
          <w:tcPr>
            <w:tcW w:w="121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DE3586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01DB889A">
            <w:pPr>
              <w:pStyle w:val="10"/>
              <w:spacing w:line="360" w:lineRule="auto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4C8CAE95">
            <w:pPr>
              <w:pStyle w:val="10"/>
              <w:spacing w:line="360" w:lineRule="auto"/>
              <w:ind w:firstLine="240" w:firstLineChars="100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吐纳麝香工艺流程简图</w:t>
            </w:r>
          </w:p>
          <w:p w14:paraId="34E8A8F4">
            <w:pPr>
              <w:pStyle w:val="10"/>
              <w:spacing w:line="360" w:lineRule="auto"/>
              <w:ind w:firstLine="420" w:firstLineChars="20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color w:val="FF0000"/>
              </w:rPr>
              <w:drawing>
                <wp:inline distT="0" distB="0" distL="114300" distR="114300">
                  <wp:extent cx="5154295" cy="3466465"/>
                  <wp:effectExtent l="0" t="0" r="8255" b="635"/>
                  <wp:docPr id="10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29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Toc24706"/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540375" cy="3898900"/>
                  <wp:effectExtent l="0" t="0" r="3175" b="6350"/>
                  <wp:docPr id="10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375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43FC5D7">
            <w:pPr>
              <w:pStyle w:val="10"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</w:rPr>
              <w:t xml:space="preserve"> 2,4-二乙基噻唑酮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工艺流程简图</w:t>
            </w:r>
          </w:p>
          <w:p w14:paraId="2712445B">
            <w:pPr>
              <w:pStyle w:val="10"/>
              <w:spacing w:line="360" w:lineRule="auto"/>
              <w:ind w:firstLine="420" w:firstLineChars="200"/>
              <w:jc w:val="lef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251200" cy="4498975"/>
                  <wp:effectExtent l="0" t="0" r="6350" b="158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449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0E9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2" w:type="dxa"/>
          <w:trHeight w:val="90" w:hRule="atLeast"/>
          <w:jc w:val="center"/>
        </w:trPr>
        <w:tc>
          <w:tcPr>
            <w:tcW w:w="109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5CE9C1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3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BDF9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728EE861">
      <w:r>
        <w:br w:type="page"/>
      </w:r>
    </w:p>
    <w:p w14:paraId="3A2F6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hAnsi="宋体" w:eastAsia="宋体" w:cs="宋体"/>
          <w:highlight w:val="none"/>
          <w:lang w:eastAsia="zh-CN"/>
        </w:rPr>
      </w:pPr>
      <w:r>
        <w:rPr>
          <w:rFonts w:hint="eastAsia" w:hAnsi="宋体" w:eastAsia="宋体" w:cs="宋体"/>
          <w:highlight w:val="none"/>
          <w:lang w:eastAsia="zh-CN"/>
        </w:rPr>
        <w:drawing>
          <wp:inline distT="0" distB="0" distL="114300" distR="114300">
            <wp:extent cx="5819775" cy="4215765"/>
            <wp:effectExtent l="0" t="0" r="9525" b="13335"/>
            <wp:docPr id="2" name="图片 2" descr="2b19786ca74362acffb3847ca5ce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19786ca74362acffb3847ca5ce5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/>
          <w:highlight w:val="none"/>
          <w:lang w:eastAsia="zh-CN"/>
        </w:rPr>
        <w:drawing>
          <wp:inline distT="0" distB="0" distL="114300" distR="114300">
            <wp:extent cx="5819775" cy="3959860"/>
            <wp:effectExtent l="0" t="0" r="9525" b="2540"/>
            <wp:docPr id="6" name="图片 6" descr="6c8adc34672fb4720b9bf1f2817f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8adc34672fb4720b9bf1f2817f04f"/>
                    <pic:cNvPicPr>
                      <a:picLocks noChangeAspect="1"/>
                    </pic:cNvPicPr>
                  </pic:nvPicPr>
                  <pic:blipFill>
                    <a:blip r:embed="rId8"/>
                    <a:srcRect b="924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4580">
      <w:pPr>
        <w:pStyle w:val="21"/>
        <w:ind w:firstLine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20eff7cfa7e22aaa8386e72a6940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eff7cfa7e22aaa8386e72a69407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941185" cy="5204460"/>
            <wp:effectExtent l="0" t="0" r="15240" b="12065"/>
            <wp:docPr id="8" name="图片 8" descr="8c4cbd879bebdb3458ad8820400c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4cbd879bebdb3458ad8820400c5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1185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17970" cy="4657090"/>
            <wp:effectExtent l="0" t="0" r="10160" b="11430"/>
            <wp:docPr id="9" name="图片 9" descr="9cf278c577d2f612f6345f9e9ed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f278c577d2f612f6345f9e9ed0588"/>
                    <pic:cNvPicPr>
                      <a:picLocks noChangeAspect="1"/>
                    </pic:cNvPicPr>
                  </pic:nvPicPr>
                  <pic:blipFill>
                    <a:blip r:embed="rId11"/>
                    <a:srcRect b="61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797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D1D8">
      <w:pPr>
        <w:pStyle w:val="21"/>
        <w:ind w:firstLine="0"/>
      </w:pPr>
      <w:r>
        <w:drawing>
          <wp:inline distT="0" distB="0" distL="114300" distR="114300">
            <wp:extent cx="5268595" cy="75247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8302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0NmU3MTZiNDZkYjZkMzQ1ZjVjZTZjYjA4NDQ2NWQ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385127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675CA2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C1149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4871A3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CC011CD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link w:val="47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7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8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9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0">
    <w:name w:val="Body Text First Indent 2"/>
    <w:basedOn w:val="8"/>
    <w:next w:val="21"/>
    <w:unhideWhenUsed/>
    <w:qFormat/>
    <w:uiPriority w:val="99"/>
    <w:pPr>
      <w:ind w:firstLine="420" w:firstLineChars="200"/>
    </w:pPr>
  </w:style>
  <w:style w:type="paragraph" w:customStyle="1" w:styleId="21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4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5">
    <w:name w:val="Default"/>
    <w:basedOn w:val="26"/>
    <w:next w:val="20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3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3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3"/>
    <w:link w:val="11"/>
    <w:autoRedefine/>
    <w:qFormat/>
    <w:uiPriority w:val="0"/>
    <w:rPr>
      <w:b/>
      <w:bCs/>
      <w:kern w:val="2"/>
      <w:sz w:val="28"/>
      <w:szCs w:val="24"/>
    </w:rPr>
  </w:style>
  <w:style w:type="character" w:customStyle="1" w:styleId="47">
    <w:name w:val="标题 3 字符1"/>
    <w:link w:val="4"/>
    <w:qFormat/>
    <w:locked/>
    <w:uiPriority w:val="9"/>
    <w:rPr>
      <w:rFonts w:asciiTheme="majorHAnsi" w:hAnsiTheme="majorHAnsi" w:eastAsiaTheme="majorEastAsia" w:cstheme="majorBidi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745</Words>
  <Characters>1018</Characters>
  <Lines>9</Lines>
  <Paragraphs>2</Paragraphs>
  <TotalTime>1</TotalTime>
  <ScaleCrop>false</ScaleCrop>
  <LinksUpToDate>false</LinksUpToDate>
  <CharactersWithSpaces>1025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2025-04-24T07:18:19Z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8EB57672631042C1A2FDE4C45E48FA56_13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