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AB3A99">
      <w:pPr>
        <w:jc w:val="center"/>
        <w:rPr>
          <w:rFonts w:hint="eastAsia" w:ascii="黑体" w:hAnsi="黑体" w:eastAsia="黑体" w:cs="黑体"/>
          <w:sz w:val="28"/>
          <w:szCs w:val="28"/>
        </w:rPr>
      </w:pPr>
      <w:r>
        <w:rPr>
          <w:rFonts w:hint="eastAsia" w:ascii="黑体" w:hAnsi="黑体" w:eastAsia="黑体" w:cs="黑体"/>
          <w:sz w:val="28"/>
          <w:szCs w:val="28"/>
        </w:rPr>
        <w:t>安全评价项目信息表</w:t>
      </w:r>
    </w:p>
    <w:p w14:paraId="7A57BC9C">
      <w:pPr>
        <w:rPr>
          <w:rFonts w:hint="eastAsia"/>
          <w:sz w:val="21"/>
          <w:szCs w:val="21"/>
          <w:lang w:val="en-US" w:eastAsia="zh-CN"/>
        </w:rPr>
      </w:pPr>
      <w:r>
        <w:rPr>
          <w:rFonts w:hint="eastAsia"/>
          <w:sz w:val="21"/>
          <w:szCs w:val="21"/>
          <w:lang w:val="en-US" w:eastAsia="zh-CN"/>
        </w:rPr>
        <w:t>项目编号：</w:t>
      </w:r>
    </w:p>
    <w:tbl>
      <w:tblPr>
        <w:tblStyle w:val="12"/>
        <w:tblW w:w="500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68" w:type="dxa"/>
          <w:left w:w="108" w:type="dxa"/>
          <w:bottom w:w="68" w:type="dxa"/>
          <w:right w:w="108" w:type="dxa"/>
        </w:tblCellMar>
      </w:tblPr>
      <w:tblGrid>
        <w:gridCol w:w="1832"/>
        <w:gridCol w:w="2188"/>
        <w:gridCol w:w="2350"/>
        <w:gridCol w:w="2918"/>
      </w:tblGrid>
      <w:tr w14:paraId="4C7CA5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03341165">
            <w:pPr>
              <w:autoSpaceDE w:val="0"/>
              <w:autoSpaceDN w:val="0"/>
              <w:adjustRightInd w:val="0"/>
              <w:snapToGrid w:val="0"/>
              <w:spacing w:line="240" w:lineRule="auto"/>
              <w:ind w:firstLine="0" w:firstLine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项目名称</w:t>
            </w:r>
          </w:p>
        </w:tc>
        <w:tc>
          <w:tcPr>
            <w:tcW w:w="7456" w:type="dxa"/>
            <w:gridSpan w:val="3"/>
            <w:tcBorders>
              <w:tl2br w:val="nil"/>
              <w:tr2bl w:val="nil"/>
            </w:tcBorders>
            <w:shd w:val="clear" w:color="auto" w:fill="auto"/>
            <w:vAlign w:val="center"/>
          </w:tcPr>
          <w:p w14:paraId="7035C3AC">
            <w:pPr>
              <w:autoSpaceDE w:val="0"/>
              <w:autoSpaceDN w:val="0"/>
              <w:adjustRightInd w:val="0"/>
              <w:snapToGrid w:val="0"/>
              <w:spacing w:line="240" w:lineRule="auto"/>
              <w:ind w:firstLine="0" w:firstLineChars="0"/>
              <w:jc w:val="center"/>
              <w:rPr>
                <w:rFonts w:hint="default" w:ascii="宋体" w:hAnsi="宋体" w:eastAsia="宋体" w:cs="宋体"/>
                <w:b w:val="0"/>
                <w:bCs w:val="0"/>
                <w:color w:val="auto"/>
                <w:kern w:val="0"/>
                <w:sz w:val="21"/>
                <w:szCs w:val="21"/>
                <w:highlight w:val="none"/>
                <w:lang w:val="en-US"/>
              </w:rPr>
            </w:pPr>
            <w:r>
              <w:rPr>
                <w:rFonts w:hint="eastAsia" w:ascii="宋体" w:hAnsi="宋体" w:eastAsia="宋体" w:cs="宋体"/>
                <w:b w:val="0"/>
                <w:bCs w:val="0"/>
                <w:color w:val="auto"/>
                <w:kern w:val="0"/>
                <w:sz w:val="21"/>
                <w:szCs w:val="21"/>
                <w:highlight w:val="none"/>
                <w:lang w:val="en-US" w:eastAsia="zh-CN" w:bidi="ar-SA"/>
              </w:rPr>
              <w:t>中国石化山东泰山石油股份有限公司肥城第十加油站改建项目</w:t>
            </w:r>
          </w:p>
        </w:tc>
      </w:tr>
      <w:tr w14:paraId="73DE5E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451" w:hRule="atLeast"/>
          <w:jc w:val="center"/>
        </w:trPr>
        <w:tc>
          <w:tcPr>
            <w:tcW w:w="1832" w:type="dxa"/>
            <w:tcBorders>
              <w:tl2br w:val="nil"/>
              <w:tr2bl w:val="nil"/>
            </w:tcBorders>
            <w:shd w:val="clear" w:color="auto" w:fill="auto"/>
            <w:vAlign w:val="center"/>
          </w:tcPr>
          <w:p w14:paraId="3F8DCA90">
            <w:pPr>
              <w:autoSpaceDE w:val="0"/>
              <w:autoSpaceDN w:val="0"/>
              <w:adjustRightInd w:val="0"/>
              <w:snapToGrid w:val="0"/>
              <w:spacing w:line="240" w:lineRule="auto"/>
              <w:ind w:firstLine="0" w:firstLine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项目简介</w:t>
            </w:r>
          </w:p>
        </w:tc>
        <w:tc>
          <w:tcPr>
            <w:tcW w:w="7456" w:type="dxa"/>
            <w:gridSpan w:val="3"/>
            <w:tcBorders>
              <w:tl2br w:val="nil"/>
              <w:tr2bl w:val="nil"/>
            </w:tcBorders>
            <w:shd w:val="clear" w:color="auto" w:fill="auto"/>
            <w:noWrap/>
            <w:vAlign w:val="center"/>
          </w:tcPr>
          <w:p w14:paraId="2B7C2244">
            <w:pPr>
              <w:adjustRightInd w:val="0"/>
              <w:snapToGrid w:val="0"/>
              <w:spacing w:line="240" w:lineRule="auto"/>
              <w:rPr>
                <w:rFonts w:hint="eastAsia" w:ascii="宋体" w:hAnsi="宋体"/>
                <w:sz w:val="20"/>
                <w:szCs w:val="24"/>
                <w:lang w:val="en-US" w:eastAsia="zh-CN"/>
              </w:rPr>
            </w:pPr>
            <w:r>
              <w:rPr>
                <w:rFonts w:hint="eastAsia" w:ascii="宋体" w:hAnsi="宋体"/>
                <w:sz w:val="20"/>
                <w:szCs w:val="24"/>
                <w:lang w:val="en-US" w:eastAsia="zh-CN"/>
              </w:rPr>
              <w:t>中国石化山东泰山石油股份有限公司肥城第十加油站位于肥城安站镇政府北500米处济充路西侧，该站成立于2001年06月13日，法定代表人为王明昌，加油站北侧为支路、架空电力线，西侧、南侧是空地，东侧是济兖路、架空通信线，交通便利。该站经营许可范围为汽油、乙醇汽油、柴油，现其主要经营汽油、柴油（0#与-10#换季销售）。</w:t>
            </w:r>
          </w:p>
          <w:p w14:paraId="721392A8">
            <w:pPr>
              <w:adjustRightInd w:val="0"/>
              <w:snapToGrid w:val="0"/>
              <w:spacing w:line="240" w:lineRule="auto"/>
              <w:rPr>
                <w:rFonts w:hint="eastAsia" w:ascii="宋体" w:hAnsi="宋体"/>
                <w:sz w:val="20"/>
                <w:szCs w:val="24"/>
                <w:lang w:val="en-US" w:eastAsia="zh-CN"/>
              </w:rPr>
            </w:pPr>
            <w:r>
              <w:rPr>
                <w:rFonts w:hint="eastAsia" w:ascii="宋体" w:hAnsi="宋体"/>
                <w:sz w:val="20"/>
                <w:szCs w:val="24"/>
                <w:lang w:val="en-US" w:eastAsia="zh-CN"/>
              </w:rPr>
              <w:t>由于该站建设时间较长，加油站罩棚、站房均老化，存在安全隐患，加油站进行以下改造：</w:t>
            </w:r>
          </w:p>
          <w:p w14:paraId="775A9E8C">
            <w:pPr>
              <w:adjustRightInd w:val="0"/>
              <w:snapToGrid w:val="0"/>
              <w:spacing w:line="240" w:lineRule="auto"/>
              <w:rPr>
                <w:rFonts w:hint="eastAsia" w:ascii="宋体" w:hAnsi="宋体"/>
                <w:sz w:val="20"/>
                <w:szCs w:val="24"/>
                <w:lang w:val="en-US" w:eastAsia="zh-CN"/>
              </w:rPr>
            </w:pPr>
            <w:r>
              <w:rPr>
                <w:rFonts w:hint="eastAsia" w:ascii="宋体" w:hAnsi="宋体"/>
                <w:sz w:val="20"/>
                <w:szCs w:val="24"/>
                <w:lang w:val="en-US" w:eastAsia="zh-CN"/>
              </w:rPr>
              <w:t>原站房拆除，新建一座框架结构站房；原罩棚拆除，新建一座型钢结构罩棚；原加油岛及6台单枪自吸式加油机拆除，新建加油岛4座，配套防撞柱，更换3台双枪自吸式加油机；原消防一体柜拆除，新建消防一体箱；重做卸油口箱体，卸油处新建1台卸油流程控制器（具有人体静电释放、车辆静电接地功能）。</w:t>
            </w:r>
          </w:p>
          <w:p w14:paraId="436FD83B">
            <w:pPr>
              <w:adjustRightInd w:val="0"/>
              <w:snapToGrid w:val="0"/>
              <w:spacing w:line="240" w:lineRule="auto"/>
              <w:rPr>
                <w:rFonts w:hint="eastAsia" w:ascii="宋体" w:hAnsi="宋体"/>
                <w:sz w:val="20"/>
                <w:szCs w:val="24"/>
                <w:lang w:val="en-US" w:eastAsia="zh-CN"/>
              </w:rPr>
            </w:pPr>
            <w:r>
              <w:rPr>
                <w:rFonts w:hint="eastAsia" w:ascii="宋体" w:hAnsi="宋体"/>
                <w:sz w:val="20"/>
                <w:szCs w:val="24"/>
                <w:lang w:val="en-US" w:eastAsia="zh-CN"/>
              </w:rPr>
              <w:t>该项目于2024年4月9日取得了肥城市商务局出具的《成品油零售经营设施原址改(扩)建备案表》，备案编号：FCSCPYBA-2024-02。</w:t>
            </w:r>
          </w:p>
          <w:p w14:paraId="655F0F9E">
            <w:pPr>
              <w:adjustRightInd w:val="0"/>
              <w:snapToGrid w:val="0"/>
              <w:spacing w:line="240" w:lineRule="auto"/>
              <w:rPr>
                <w:rFonts w:hint="eastAsia" w:ascii="宋体" w:hAnsi="宋体" w:eastAsia="宋体" w:cs="宋体"/>
                <w:b w:val="0"/>
                <w:bCs w:val="0"/>
                <w:color w:val="auto"/>
                <w:kern w:val="0"/>
                <w:sz w:val="21"/>
                <w:szCs w:val="21"/>
                <w:highlight w:val="none"/>
              </w:rPr>
            </w:pPr>
            <w:r>
              <w:rPr>
                <w:rFonts w:hint="eastAsia" w:ascii="宋体" w:hAnsi="宋体"/>
                <w:sz w:val="20"/>
                <w:szCs w:val="24"/>
                <w:lang w:val="en-US" w:eastAsia="zh-CN"/>
              </w:rPr>
              <w:t>该项目于2024年6月19日取得了《山东省建设项目备案证明》，项目代码为2406-370983-04-01-529629。</w:t>
            </w:r>
          </w:p>
        </w:tc>
      </w:tr>
      <w:tr w14:paraId="6C0547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0CB40D86">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评价人员</w:t>
            </w:r>
          </w:p>
        </w:tc>
        <w:tc>
          <w:tcPr>
            <w:tcW w:w="4538" w:type="dxa"/>
            <w:gridSpan w:val="2"/>
            <w:tcBorders>
              <w:tl2br w:val="nil"/>
              <w:tr2bl w:val="nil"/>
            </w:tcBorders>
            <w:shd w:val="clear" w:color="auto" w:fill="auto"/>
            <w:noWrap/>
            <w:vAlign w:val="center"/>
          </w:tcPr>
          <w:p w14:paraId="44B4B812">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姓  名</w:t>
            </w:r>
          </w:p>
        </w:tc>
        <w:tc>
          <w:tcPr>
            <w:tcW w:w="2918" w:type="dxa"/>
            <w:tcBorders>
              <w:tl2br w:val="nil"/>
              <w:tr2bl w:val="nil"/>
            </w:tcBorders>
            <w:shd w:val="clear" w:color="auto" w:fill="auto"/>
            <w:noWrap/>
            <w:vAlign w:val="center"/>
          </w:tcPr>
          <w:p w14:paraId="1FCBB865">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备注</w:t>
            </w:r>
          </w:p>
        </w:tc>
      </w:tr>
      <w:tr w14:paraId="6BF927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0E120E7A">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项目负责人</w:t>
            </w:r>
          </w:p>
        </w:tc>
        <w:tc>
          <w:tcPr>
            <w:tcW w:w="4538" w:type="dxa"/>
            <w:gridSpan w:val="2"/>
            <w:tcBorders>
              <w:tl2br w:val="nil"/>
              <w:tr2bl w:val="nil"/>
            </w:tcBorders>
            <w:shd w:val="clear" w:color="auto" w:fill="auto"/>
            <w:noWrap/>
            <w:vAlign w:val="center"/>
          </w:tcPr>
          <w:p w14:paraId="73E7DF0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辛  磊</w:t>
            </w:r>
          </w:p>
        </w:tc>
        <w:tc>
          <w:tcPr>
            <w:tcW w:w="2918" w:type="dxa"/>
            <w:tcBorders>
              <w:tl2br w:val="nil"/>
              <w:tr2bl w:val="nil"/>
            </w:tcBorders>
            <w:shd w:val="clear" w:color="auto" w:fill="auto"/>
            <w:noWrap/>
            <w:vAlign w:val="center"/>
          </w:tcPr>
          <w:p w14:paraId="23E16B38">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7FD0E9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14:paraId="6086F464">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项目组成员</w:t>
            </w:r>
          </w:p>
        </w:tc>
        <w:tc>
          <w:tcPr>
            <w:tcW w:w="4538" w:type="dxa"/>
            <w:gridSpan w:val="2"/>
            <w:tcBorders>
              <w:tl2br w:val="nil"/>
              <w:tr2bl w:val="nil"/>
            </w:tcBorders>
            <w:shd w:val="clear" w:color="auto" w:fill="auto"/>
            <w:noWrap/>
            <w:vAlign w:val="center"/>
          </w:tcPr>
          <w:p w14:paraId="706C29C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刘卫国</w:t>
            </w:r>
          </w:p>
        </w:tc>
        <w:tc>
          <w:tcPr>
            <w:tcW w:w="2918" w:type="dxa"/>
            <w:tcBorders>
              <w:tl2br w:val="nil"/>
              <w:tr2bl w:val="nil"/>
            </w:tcBorders>
            <w:shd w:val="clear" w:color="auto" w:fill="auto"/>
            <w:noWrap/>
            <w:vAlign w:val="center"/>
          </w:tcPr>
          <w:p w14:paraId="237809B2">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43A362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558CF634">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471CC88C">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马琳琳</w:t>
            </w:r>
          </w:p>
        </w:tc>
        <w:tc>
          <w:tcPr>
            <w:tcW w:w="2918" w:type="dxa"/>
            <w:tcBorders>
              <w:tl2br w:val="nil"/>
              <w:tr2bl w:val="nil"/>
            </w:tcBorders>
            <w:shd w:val="clear" w:color="auto" w:fill="auto"/>
            <w:noWrap/>
            <w:vAlign w:val="center"/>
          </w:tcPr>
          <w:p w14:paraId="7BF3D163">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4342BC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0D8F6F54">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28214A3E">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刘振忠</w:t>
            </w:r>
          </w:p>
        </w:tc>
        <w:tc>
          <w:tcPr>
            <w:tcW w:w="2918" w:type="dxa"/>
            <w:tcBorders>
              <w:tl2br w:val="nil"/>
              <w:tr2bl w:val="nil"/>
            </w:tcBorders>
            <w:shd w:val="clear" w:color="auto" w:fill="auto"/>
            <w:noWrap/>
            <w:vAlign w:val="center"/>
          </w:tcPr>
          <w:p w14:paraId="4454A16B">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26871A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1F4EDAEE">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66233AE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王  静</w:t>
            </w:r>
          </w:p>
        </w:tc>
        <w:tc>
          <w:tcPr>
            <w:tcW w:w="2918" w:type="dxa"/>
            <w:tcBorders>
              <w:tl2br w:val="nil"/>
              <w:tr2bl w:val="nil"/>
            </w:tcBorders>
            <w:shd w:val="clear" w:color="auto" w:fill="auto"/>
            <w:noWrap/>
            <w:vAlign w:val="center"/>
          </w:tcPr>
          <w:p w14:paraId="417B7BE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53493A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75021019">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报告编制人</w:t>
            </w:r>
          </w:p>
        </w:tc>
        <w:tc>
          <w:tcPr>
            <w:tcW w:w="4538" w:type="dxa"/>
            <w:gridSpan w:val="2"/>
            <w:tcBorders>
              <w:tl2br w:val="nil"/>
              <w:tr2bl w:val="nil"/>
            </w:tcBorders>
            <w:shd w:val="clear" w:color="auto" w:fill="auto"/>
            <w:noWrap/>
            <w:vAlign w:val="center"/>
          </w:tcPr>
          <w:p w14:paraId="6668269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辛  磊</w:t>
            </w:r>
          </w:p>
        </w:tc>
        <w:tc>
          <w:tcPr>
            <w:tcW w:w="2918" w:type="dxa"/>
            <w:tcBorders>
              <w:tl2br w:val="nil"/>
              <w:tr2bl w:val="nil"/>
            </w:tcBorders>
            <w:shd w:val="clear" w:color="auto" w:fill="auto"/>
            <w:noWrap/>
            <w:vAlign w:val="center"/>
          </w:tcPr>
          <w:p w14:paraId="4DA7082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247C22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3D8316E">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报告审核人</w:t>
            </w:r>
          </w:p>
        </w:tc>
        <w:tc>
          <w:tcPr>
            <w:tcW w:w="4538" w:type="dxa"/>
            <w:gridSpan w:val="2"/>
            <w:tcBorders>
              <w:tl2br w:val="nil"/>
              <w:tr2bl w:val="nil"/>
            </w:tcBorders>
            <w:shd w:val="clear" w:color="auto" w:fill="auto"/>
            <w:noWrap/>
            <w:vAlign w:val="center"/>
          </w:tcPr>
          <w:p w14:paraId="27AD4436">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刘振忠</w:t>
            </w:r>
          </w:p>
        </w:tc>
        <w:tc>
          <w:tcPr>
            <w:tcW w:w="2918" w:type="dxa"/>
            <w:tcBorders>
              <w:tl2br w:val="nil"/>
              <w:tr2bl w:val="nil"/>
            </w:tcBorders>
            <w:shd w:val="clear" w:color="auto" w:fill="auto"/>
            <w:noWrap/>
            <w:vAlign w:val="center"/>
          </w:tcPr>
          <w:p w14:paraId="7FAEEC1B">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2B96E8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5A740C7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过程控制负责人</w:t>
            </w:r>
          </w:p>
        </w:tc>
        <w:tc>
          <w:tcPr>
            <w:tcW w:w="4538" w:type="dxa"/>
            <w:gridSpan w:val="2"/>
            <w:tcBorders>
              <w:tl2br w:val="nil"/>
              <w:tr2bl w:val="nil"/>
            </w:tcBorders>
            <w:shd w:val="clear" w:color="auto" w:fill="auto"/>
            <w:noWrap/>
            <w:vAlign w:val="center"/>
          </w:tcPr>
          <w:p w14:paraId="1B9378C6">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刘云红</w:t>
            </w:r>
          </w:p>
        </w:tc>
        <w:tc>
          <w:tcPr>
            <w:tcW w:w="2918" w:type="dxa"/>
            <w:tcBorders>
              <w:tl2br w:val="nil"/>
              <w:tr2bl w:val="nil"/>
            </w:tcBorders>
            <w:shd w:val="clear" w:color="auto" w:fill="auto"/>
            <w:noWrap/>
            <w:vAlign w:val="center"/>
          </w:tcPr>
          <w:p w14:paraId="475BE52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783A4C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2E3A638">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技术负责人</w:t>
            </w:r>
          </w:p>
        </w:tc>
        <w:tc>
          <w:tcPr>
            <w:tcW w:w="4538" w:type="dxa"/>
            <w:gridSpan w:val="2"/>
            <w:tcBorders>
              <w:tl2br w:val="nil"/>
              <w:tr2bl w:val="nil"/>
            </w:tcBorders>
            <w:shd w:val="clear" w:color="auto" w:fill="auto"/>
            <w:noWrap/>
            <w:vAlign w:val="center"/>
          </w:tcPr>
          <w:p w14:paraId="5F4D32A2">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孙  虎</w:t>
            </w:r>
          </w:p>
        </w:tc>
        <w:tc>
          <w:tcPr>
            <w:tcW w:w="2918" w:type="dxa"/>
            <w:tcBorders>
              <w:tl2br w:val="nil"/>
              <w:tr2bl w:val="nil"/>
            </w:tcBorders>
            <w:shd w:val="clear" w:color="auto" w:fill="auto"/>
            <w:noWrap/>
            <w:vAlign w:val="center"/>
          </w:tcPr>
          <w:p w14:paraId="0CF7197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6763D4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14:paraId="27BF8937">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到现场开展安全</w:t>
            </w:r>
          </w:p>
          <w:p w14:paraId="5FE832B3">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评价工作情况</w:t>
            </w:r>
          </w:p>
        </w:tc>
        <w:tc>
          <w:tcPr>
            <w:tcW w:w="2188" w:type="dxa"/>
            <w:tcBorders>
              <w:tl2br w:val="nil"/>
              <w:tr2bl w:val="nil"/>
            </w:tcBorders>
            <w:shd w:val="clear" w:color="auto" w:fill="auto"/>
            <w:noWrap/>
            <w:vAlign w:val="center"/>
          </w:tcPr>
          <w:p w14:paraId="77464E92">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时  间</w:t>
            </w:r>
          </w:p>
        </w:tc>
        <w:tc>
          <w:tcPr>
            <w:tcW w:w="2350" w:type="dxa"/>
            <w:tcBorders>
              <w:tl2br w:val="nil"/>
              <w:tr2bl w:val="nil"/>
            </w:tcBorders>
            <w:shd w:val="clear" w:color="auto" w:fill="auto"/>
            <w:noWrap/>
            <w:vAlign w:val="center"/>
          </w:tcPr>
          <w:p w14:paraId="52400116">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到现场主要人员</w:t>
            </w:r>
          </w:p>
        </w:tc>
        <w:tc>
          <w:tcPr>
            <w:tcW w:w="2918" w:type="dxa"/>
            <w:tcBorders>
              <w:tl2br w:val="nil"/>
              <w:tr2bl w:val="nil"/>
            </w:tcBorders>
            <w:shd w:val="clear" w:color="auto" w:fill="auto"/>
            <w:noWrap/>
            <w:vAlign w:val="center"/>
          </w:tcPr>
          <w:p w14:paraId="767DC8D6">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主要任务</w:t>
            </w:r>
          </w:p>
        </w:tc>
      </w:tr>
      <w:tr w14:paraId="48E9FA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341564D7">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37CA163A">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2024.12.16</w:t>
            </w:r>
          </w:p>
        </w:tc>
        <w:tc>
          <w:tcPr>
            <w:tcW w:w="2350" w:type="dxa"/>
            <w:tcBorders>
              <w:tl2br w:val="nil"/>
              <w:tr2bl w:val="nil"/>
            </w:tcBorders>
            <w:shd w:val="clear" w:color="auto" w:fill="auto"/>
            <w:noWrap/>
            <w:vAlign w:val="center"/>
          </w:tcPr>
          <w:p w14:paraId="5F951CA0">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辛  磊 马琳琳</w:t>
            </w:r>
          </w:p>
        </w:tc>
        <w:tc>
          <w:tcPr>
            <w:tcW w:w="2918" w:type="dxa"/>
            <w:tcBorders>
              <w:tl2br w:val="nil"/>
              <w:tr2bl w:val="nil"/>
            </w:tcBorders>
            <w:shd w:val="clear" w:color="auto" w:fill="auto"/>
            <w:noWrap/>
            <w:vAlign w:val="center"/>
          </w:tcPr>
          <w:p w14:paraId="1A0D7279">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初访</w:t>
            </w:r>
          </w:p>
        </w:tc>
      </w:tr>
      <w:tr w14:paraId="485A9E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29F8E4FB">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3B64544E">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2024.12.26</w:t>
            </w:r>
          </w:p>
        </w:tc>
        <w:tc>
          <w:tcPr>
            <w:tcW w:w="2350" w:type="dxa"/>
            <w:tcBorders>
              <w:tl2br w:val="nil"/>
              <w:tr2bl w:val="nil"/>
            </w:tcBorders>
            <w:shd w:val="clear" w:color="auto" w:fill="auto"/>
            <w:noWrap/>
            <w:vAlign w:val="center"/>
          </w:tcPr>
          <w:p w14:paraId="69AEC73C">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辛  磊 马琳琳</w:t>
            </w:r>
          </w:p>
        </w:tc>
        <w:tc>
          <w:tcPr>
            <w:tcW w:w="2918" w:type="dxa"/>
            <w:tcBorders>
              <w:tl2br w:val="nil"/>
              <w:tr2bl w:val="nil"/>
            </w:tcBorders>
            <w:shd w:val="clear" w:color="auto" w:fill="auto"/>
            <w:noWrap/>
            <w:vAlign w:val="center"/>
          </w:tcPr>
          <w:p w14:paraId="1C8D8C89">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现场考察</w:t>
            </w:r>
          </w:p>
        </w:tc>
      </w:tr>
      <w:tr w14:paraId="0B67BD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F5F5E93">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46D96837">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2024.12.31</w:t>
            </w:r>
          </w:p>
        </w:tc>
        <w:tc>
          <w:tcPr>
            <w:tcW w:w="2350" w:type="dxa"/>
            <w:tcBorders>
              <w:tl2br w:val="nil"/>
              <w:tr2bl w:val="nil"/>
            </w:tcBorders>
            <w:shd w:val="clear" w:color="auto" w:fill="auto"/>
            <w:noWrap/>
            <w:vAlign w:val="center"/>
          </w:tcPr>
          <w:p w14:paraId="4FC9AA07">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辛  磊 马琳琳</w:t>
            </w:r>
          </w:p>
        </w:tc>
        <w:tc>
          <w:tcPr>
            <w:tcW w:w="2918" w:type="dxa"/>
            <w:tcBorders>
              <w:tl2br w:val="nil"/>
              <w:tr2bl w:val="nil"/>
            </w:tcBorders>
            <w:shd w:val="clear" w:color="auto" w:fill="auto"/>
            <w:noWrap/>
            <w:vAlign w:val="center"/>
          </w:tcPr>
          <w:p w14:paraId="3DDF3E34">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现场检查</w:t>
            </w:r>
          </w:p>
        </w:tc>
      </w:tr>
      <w:tr w14:paraId="56298C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2B769EE">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730B2FB3">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2025.01.05</w:t>
            </w:r>
          </w:p>
        </w:tc>
        <w:tc>
          <w:tcPr>
            <w:tcW w:w="2350" w:type="dxa"/>
            <w:tcBorders>
              <w:tl2br w:val="nil"/>
              <w:tr2bl w:val="nil"/>
            </w:tcBorders>
            <w:shd w:val="clear" w:color="auto" w:fill="auto"/>
            <w:noWrap/>
            <w:vAlign w:val="center"/>
          </w:tcPr>
          <w:p w14:paraId="2AA9953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辛  磊 马琳琳</w:t>
            </w:r>
          </w:p>
        </w:tc>
        <w:tc>
          <w:tcPr>
            <w:tcW w:w="2918" w:type="dxa"/>
            <w:tcBorders>
              <w:tl2br w:val="nil"/>
              <w:tr2bl w:val="nil"/>
            </w:tcBorders>
            <w:shd w:val="clear" w:color="auto" w:fill="auto"/>
            <w:noWrap/>
            <w:vAlign w:val="center"/>
          </w:tcPr>
          <w:p w14:paraId="6B25FAEE">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现场核查</w:t>
            </w:r>
          </w:p>
        </w:tc>
      </w:tr>
      <w:tr w14:paraId="59D3EE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9288" w:type="dxa"/>
            <w:gridSpan w:val="4"/>
            <w:tcBorders>
              <w:tl2br w:val="nil"/>
              <w:tr2bl w:val="nil"/>
            </w:tcBorders>
            <w:shd w:val="clear" w:color="auto" w:fill="auto"/>
            <w:vAlign w:val="center"/>
          </w:tcPr>
          <w:p w14:paraId="1E217AFE">
            <w:pPr>
              <w:autoSpaceDE w:val="0"/>
              <w:autoSpaceDN w:val="0"/>
              <w:adjustRightInd w:val="0"/>
              <w:snapToGrid w:val="0"/>
              <w:spacing w:line="240" w:lineRule="auto"/>
              <w:ind w:firstLine="0" w:firstLineChars="0"/>
              <w:jc w:val="left"/>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安全评价报告提交时间：2025.01.14</w:t>
            </w:r>
          </w:p>
        </w:tc>
      </w:tr>
      <w:tr w14:paraId="520FBA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9288" w:type="dxa"/>
            <w:gridSpan w:val="4"/>
            <w:tcBorders>
              <w:tl2br w:val="nil"/>
              <w:tr2bl w:val="nil"/>
            </w:tcBorders>
            <w:shd w:val="clear" w:color="auto" w:fill="auto"/>
            <w:vAlign w:val="center"/>
          </w:tcPr>
          <w:p w14:paraId="6F94C4E7">
            <w:pPr>
              <w:autoSpaceDE w:val="0"/>
              <w:autoSpaceDN w:val="0"/>
              <w:adjustRightInd w:val="0"/>
              <w:snapToGrid w:val="0"/>
              <w:spacing w:line="24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有必要公开的其它内容：</w:t>
            </w:r>
          </w:p>
        </w:tc>
      </w:tr>
    </w:tbl>
    <w:p w14:paraId="1D07F5A5">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b w:val="0"/>
          <w:bCs w:val="0"/>
          <w:color w:val="auto"/>
          <w:kern w:val="0"/>
          <w:sz w:val="24"/>
          <w:szCs w:val="24"/>
          <w:highlight w:val="none"/>
          <w:lang w:val="en-US" w:eastAsia="zh-CN" w:bidi="ar-SA"/>
        </w:rPr>
      </w:pPr>
    </w:p>
    <w:p w14:paraId="2A3A971C">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b w:val="0"/>
          <w:bCs w:val="0"/>
          <w:color w:val="auto"/>
          <w:kern w:val="0"/>
          <w:sz w:val="24"/>
          <w:szCs w:val="24"/>
          <w:highlight w:val="none"/>
          <w:lang w:val="en-US" w:eastAsia="zh-CN" w:bidi="ar-SA"/>
        </w:rPr>
      </w:pPr>
    </w:p>
    <w:p w14:paraId="161B3255">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b w:val="0"/>
          <w:bCs w:val="0"/>
          <w:color w:val="auto"/>
          <w:kern w:val="0"/>
          <w:sz w:val="24"/>
          <w:szCs w:val="24"/>
          <w:highlight w:val="none"/>
          <w:lang w:val="en-US" w:eastAsia="zh-CN" w:bidi="ar-SA"/>
        </w:rPr>
      </w:pPr>
    </w:p>
    <w:p w14:paraId="5EE59B17">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b w:val="0"/>
          <w:bCs w:val="0"/>
          <w:color w:val="auto"/>
          <w:kern w:val="0"/>
          <w:sz w:val="24"/>
          <w:szCs w:val="24"/>
          <w:highlight w:val="none"/>
          <w:lang w:val="en-US" w:eastAsia="zh-CN" w:bidi="ar-SA"/>
        </w:rPr>
      </w:pPr>
    </w:p>
    <w:p w14:paraId="4C8FFBC7">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中国石化山东泰山石油股份有限公司肥城第十加油站改建项目安全验收评价现场照片</w:t>
      </w:r>
    </w:p>
    <w:p w14:paraId="15897E25">
      <w:pPr>
        <w:pStyle w:val="4"/>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rPr>
          <w:rFonts w:hint="default"/>
          <w:lang w:val="en-US" w:eastAsia="zh-CN"/>
        </w:rPr>
        <w:sectPr>
          <w:pgSz w:w="11906" w:h="16838"/>
          <w:pgMar w:top="1417" w:right="1417" w:bottom="1417" w:left="1417" w:header="851" w:footer="992" w:gutter="0"/>
          <w:pgBorders>
            <w:top w:val="none" w:sz="0" w:space="0"/>
            <w:left w:val="none" w:sz="0" w:space="0"/>
            <w:bottom w:val="none" w:sz="0" w:space="0"/>
            <w:right w:val="none" w:sz="0" w:space="0"/>
          </w:pgBorders>
          <w:cols w:space="425" w:num="1"/>
          <w:docGrid w:type="lines" w:linePitch="312" w:charSpace="0"/>
        </w:sectPr>
      </w:pPr>
      <w:r>
        <w:rPr>
          <w:rFonts w:hint="default"/>
          <w:lang w:val="en-US" w:eastAsia="zh-CN"/>
        </w:rPr>
        <w:drawing>
          <wp:inline distT="0" distB="0" distL="114300" distR="114300">
            <wp:extent cx="5563870" cy="4173220"/>
            <wp:effectExtent l="0" t="0" r="17780" b="17780"/>
            <wp:docPr id="2" name="图片 2" descr="微信图片_20250102163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50102163347"/>
                    <pic:cNvPicPr>
                      <a:picLocks noChangeAspect="1"/>
                    </pic:cNvPicPr>
                  </pic:nvPicPr>
                  <pic:blipFill>
                    <a:blip r:embed="rId4"/>
                    <a:stretch>
                      <a:fillRect/>
                    </a:stretch>
                  </pic:blipFill>
                  <pic:spPr>
                    <a:xfrm>
                      <a:off x="0" y="0"/>
                      <a:ext cx="5563870" cy="4173220"/>
                    </a:xfrm>
                    <a:prstGeom prst="rect">
                      <a:avLst/>
                    </a:prstGeom>
                  </pic:spPr>
                </pic:pic>
              </a:graphicData>
            </a:graphic>
          </wp:inline>
        </w:drawing>
      </w:r>
      <w:r>
        <w:rPr>
          <w:rFonts w:hint="default"/>
          <w:lang w:val="en-US" w:eastAsia="zh-CN"/>
        </w:rPr>
        <w:drawing>
          <wp:inline distT="0" distB="0" distL="114300" distR="114300">
            <wp:extent cx="5551170" cy="4163695"/>
            <wp:effectExtent l="0" t="0" r="11430" b="8255"/>
            <wp:docPr id="1" name="图片 1" descr="微信图片_20250102163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50102163350"/>
                    <pic:cNvPicPr>
                      <a:picLocks noChangeAspect="1"/>
                    </pic:cNvPicPr>
                  </pic:nvPicPr>
                  <pic:blipFill>
                    <a:blip r:embed="rId5"/>
                    <a:stretch>
                      <a:fillRect/>
                    </a:stretch>
                  </pic:blipFill>
                  <pic:spPr>
                    <a:xfrm>
                      <a:off x="0" y="0"/>
                      <a:ext cx="5551170" cy="4163695"/>
                    </a:xfrm>
                    <a:prstGeom prst="rect">
                      <a:avLst/>
                    </a:prstGeom>
                  </pic:spPr>
                </pic:pic>
              </a:graphicData>
            </a:graphic>
          </wp:inline>
        </w:drawing>
      </w:r>
    </w:p>
    <w:p w14:paraId="20642A09">
      <w:pPr>
        <w:adjustRightInd w:val="0"/>
        <w:snapToGrid w:val="0"/>
        <w:spacing w:before="360" w:beforeLines="150" w:after="120" w:afterLines="50" w:line="360" w:lineRule="auto"/>
        <w:jc w:val="center"/>
        <w:outlineLvl w:val="0"/>
        <w:rPr>
          <w:rFonts w:hint="eastAsia" w:ascii="黑体" w:eastAsia="黑体"/>
          <w:sz w:val="32"/>
          <w:szCs w:val="32"/>
        </w:rPr>
      </w:pPr>
      <w:bookmarkStart w:id="0" w:name="_Toc18726"/>
      <w:r>
        <w:rPr>
          <w:rFonts w:hint="eastAsia" w:ascii="黑体" w:eastAsia="黑体"/>
          <w:b/>
          <w:bCs/>
          <w:sz w:val="32"/>
          <w:szCs w:val="32"/>
        </w:rPr>
        <w:t>2 建设项目概况</w:t>
      </w:r>
      <w:bookmarkEnd w:id="0"/>
    </w:p>
    <w:p w14:paraId="136BBD11">
      <w:pPr>
        <w:pStyle w:val="2"/>
        <w:adjustRightInd w:val="0"/>
        <w:snapToGrid w:val="0"/>
        <w:spacing w:before="0" w:after="0" w:line="360" w:lineRule="auto"/>
        <w:jc w:val="center"/>
        <w:rPr>
          <w:rFonts w:hint="eastAsia" w:ascii="楷体_GB2312" w:eastAsia="楷体_GB2312"/>
        </w:rPr>
      </w:pPr>
      <w:bookmarkStart w:id="1" w:name="_Toc13497"/>
      <w:r>
        <w:rPr>
          <w:rFonts w:hint="eastAsia" w:ascii="楷体_GB2312" w:eastAsia="楷体_GB2312"/>
        </w:rPr>
        <w:t>2.1 建设单位简介</w:t>
      </w:r>
      <w:bookmarkEnd w:id="1"/>
    </w:p>
    <w:p w14:paraId="64CE34DD">
      <w:pPr>
        <w:topLinePunct/>
        <w:adjustRightInd w:val="0"/>
        <w:snapToGrid w:val="0"/>
        <w:spacing w:line="360" w:lineRule="auto"/>
        <w:ind w:firstLine="560" w:firstLineChars="200"/>
        <w:rPr>
          <w:rFonts w:ascii="宋体" w:hAnsi="宋体"/>
          <w:snapToGrid w:val="0"/>
          <w:spacing w:val="0"/>
          <w:kern w:val="0"/>
          <w:sz w:val="28"/>
        </w:rPr>
      </w:pPr>
      <w:r>
        <w:rPr>
          <w:rFonts w:hint="eastAsia" w:ascii="宋体" w:hAnsi="宋体"/>
          <w:snapToGrid w:val="0"/>
          <w:spacing w:val="0"/>
          <w:kern w:val="0"/>
          <w:sz w:val="28"/>
        </w:rPr>
        <w:t>中国石化山东泰山石油股份有限公司肥城第十加油站位于肥城安站镇政府北500米处济充路西侧，该站成立于2001年06月13日，法定代表人为王明昌，加油站</w:t>
      </w:r>
      <w:r>
        <w:rPr>
          <w:rFonts w:hint="eastAsia" w:ascii="宋体" w:hAnsi="宋体"/>
          <w:snapToGrid w:val="0"/>
          <w:spacing w:val="0"/>
          <w:kern w:val="0"/>
          <w:sz w:val="28"/>
          <w:lang w:eastAsia="zh-CN"/>
        </w:rPr>
        <w:t>北侧为支路、架空电力线，西侧、南侧是空地，东侧是济兖路、架空通信线</w:t>
      </w:r>
      <w:r>
        <w:rPr>
          <w:rFonts w:hint="eastAsia" w:ascii="宋体" w:hAnsi="宋体"/>
          <w:snapToGrid w:val="0"/>
          <w:spacing w:val="0"/>
          <w:kern w:val="0"/>
          <w:sz w:val="28"/>
        </w:rPr>
        <w:t>，交通便利。该站经营许可范围为汽油、乙醇汽油、柴油，现其主要经营汽油、柴油（0#与-10#换季销售）</w:t>
      </w:r>
      <w:r>
        <w:rPr>
          <w:rFonts w:hint="eastAsia" w:ascii="宋体" w:hAnsi="宋体"/>
          <w:sz w:val="28"/>
          <w:szCs w:val="28"/>
        </w:rPr>
        <w:t>。</w:t>
      </w:r>
    </w:p>
    <w:p w14:paraId="08C13263">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该项目依托原有职工</w:t>
      </w:r>
      <w:r>
        <w:rPr>
          <w:rFonts w:hint="eastAsia" w:ascii="宋体" w:hAnsi="宋体"/>
          <w:sz w:val="28"/>
          <w:szCs w:val="28"/>
          <w:lang w:val="en-US" w:eastAsia="zh-CN"/>
        </w:rPr>
        <w:t>3</w:t>
      </w:r>
      <w:r>
        <w:rPr>
          <w:rFonts w:hint="eastAsia" w:ascii="宋体" w:hAnsi="宋体"/>
          <w:sz w:val="28"/>
          <w:szCs w:val="28"/>
        </w:rPr>
        <w:t>人，其中主要负责人1人，安全生产管理员1人。主要负责人和安全生产管理人员已参加了危险化学品安全管理培训，并取得考核合格证。</w:t>
      </w:r>
    </w:p>
    <w:p w14:paraId="57D24E87">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加油站于2021年</w:t>
      </w:r>
      <w:r>
        <w:rPr>
          <w:rFonts w:hint="eastAsia" w:ascii="宋体" w:hAnsi="宋体"/>
          <w:sz w:val="28"/>
          <w:szCs w:val="28"/>
          <w:lang w:val="en-US" w:eastAsia="zh-CN"/>
        </w:rPr>
        <w:t>12</w:t>
      </w:r>
      <w:r>
        <w:rPr>
          <w:rFonts w:hint="eastAsia" w:ascii="宋体" w:hAnsi="宋体"/>
          <w:sz w:val="28"/>
          <w:szCs w:val="28"/>
        </w:rPr>
        <w:t>月</w:t>
      </w:r>
      <w:r>
        <w:rPr>
          <w:rFonts w:hint="eastAsia" w:ascii="宋体" w:hAnsi="宋体"/>
          <w:sz w:val="28"/>
          <w:szCs w:val="28"/>
          <w:lang w:val="en-US" w:eastAsia="zh-CN"/>
        </w:rPr>
        <w:t>27</w:t>
      </w:r>
      <w:r>
        <w:rPr>
          <w:rFonts w:hint="eastAsia" w:ascii="宋体" w:hAnsi="宋体"/>
          <w:sz w:val="28"/>
          <w:szCs w:val="28"/>
        </w:rPr>
        <w:t>日换发了《成品油零售经营批准证书》，证书编号：鲁油零售证书第37090</w:t>
      </w:r>
      <w:r>
        <w:rPr>
          <w:rFonts w:hint="eastAsia" w:ascii="宋体" w:hAnsi="宋体"/>
          <w:sz w:val="28"/>
          <w:szCs w:val="28"/>
          <w:lang w:val="en-US" w:eastAsia="zh-CN"/>
        </w:rPr>
        <w:t>6</w:t>
      </w:r>
      <w:r>
        <w:rPr>
          <w:rFonts w:hint="eastAsia" w:ascii="宋体" w:hAnsi="宋体"/>
          <w:sz w:val="28"/>
          <w:szCs w:val="28"/>
        </w:rPr>
        <w:t>10</w:t>
      </w:r>
      <w:r>
        <w:rPr>
          <w:rFonts w:hint="eastAsia" w:ascii="宋体" w:hAnsi="宋体"/>
          <w:sz w:val="28"/>
          <w:szCs w:val="28"/>
          <w:lang w:val="en-US" w:eastAsia="zh-CN"/>
        </w:rPr>
        <w:t>27</w:t>
      </w:r>
      <w:r>
        <w:rPr>
          <w:rFonts w:hint="eastAsia" w:ascii="宋体" w:hAnsi="宋体"/>
          <w:sz w:val="28"/>
          <w:szCs w:val="28"/>
        </w:rPr>
        <w:t>号，证书有效期至2026年</w:t>
      </w:r>
      <w:r>
        <w:rPr>
          <w:rFonts w:hint="eastAsia" w:ascii="宋体" w:hAnsi="宋体"/>
          <w:sz w:val="28"/>
          <w:szCs w:val="28"/>
          <w:lang w:val="en-US" w:eastAsia="zh-CN"/>
        </w:rPr>
        <w:t>12</w:t>
      </w:r>
      <w:r>
        <w:rPr>
          <w:rFonts w:hint="eastAsia" w:ascii="宋体" w:hAnsi="宋体"/>
          <w:sz w:val="28"/>
          <w:szCs w:val="28"/>
        </w:rPr>
        <w:t>月</w:t>
      </w:r>
      <w:r>
        <w:rPr>
          <w:rFonts w:hint="eastAsia" w:ascii="宋体" w:hAnsi="宋体"/>
          <w:sz w:val="28"/>
          <w:szCs w:val="28"/>
          <w:lang w:val="en-US" w:eastAsia="zh-CN"/>
        </w:rPr>
        <w:t>27</w:t>
      </w:r>
      <w:r>
        <w:rPr>
          <w:rFonts w:hint="eastAsia" w:ascii="宋体" w:hAnsi="宋体"/>
          <w:sz w:val="28"/>
          <w:szCs w:val="28"/>
        </w:rPr>
        <w:t>日，证书见附件。</w:t>
      </w:r>
    </w:p>
    <w:p w14:paraId="2AA28BA5">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加油站于2022年06月</w:t>
      </w:r>
      <w:r>
        <w:rPr>
          <w:rFonts w:hint="eastAsia" w:ascii="宋体" w:hAnsi="宋体"/>
          <w:sz w:val="28"/>
          <w:szCs w:val="28"/>
          <w:lang w:val="en-US" w:eastAsia="zh-CN"/>
        </w:rPr>
        <w:t>20</w:t>
      </w:r>
      <w:r>
        <w:rPr>
          <w:rFonts w:hint="eastAsia" w:ascii="宋体" w:hAnsi="宋体"/>
          <w:sz w:val="28"/>
          <w:szCs w:val="28"/>
        </w:rPr>
        <w:t>日换发了《危险化学品经营许可证》，证书编号：鲁泰危化经[2022]0</w:t>
      </w:r>
      <w:r>
        <w:rPr>
          <w:rFonts w:hint="eastAsia" w:ascii="宋体" w:hAnsi="宋体"/>
          <w:sz w:val="28"/>
          <w:szCs w:val="28"/>
          <w:lang w:val="en-US" w:eastAsia="zh-CN"/>
        </w:rPr>
        <w:t>40009</w:t>
      </w:r>
      <w:r>
        <w:rPr>
          <w:rFonts w:hint="eastAsia" w:ascii="宋体" w:hAnsi="宋体"/>
          <w:sz w:val="28"/>
          <w:szCs w:val="28"/>
        </w:rPr>
        <w:t>号，证书有效期至2025年06月20日，证书见附件。</w:t>
      </w:r>
    </w:p>
    <w:p w14:paraId="03EA7E41">
      <w:pPr>
        <w:keepNext w:val="0"/>
        <w:keepLines w:val="0"/>
        <w:pageBreakBefore w:val="0"/>
        <w:widowControl w:val="0"/>
        <w:kinsoku w:val="0"/>
        <w:wordWrap/>
        <w:overflowPunct w:val="0"/>
        <w:topLinePunct/>
        <w:autoSpaceDE/>
        <w:autoSpaceDN/>
        <w:bidi w:val="0"/>
        <w:adjustRightInd w:val="0"/>
        <w:snapToGrid w:val="0"/>
        <w:spacing w:line="360" w:lineRule="auto"/>
        <w:ind w:firstLine="560" w:firstLineChars="200"/>
        <w:textAlignment w:val="auto"/>
        <w:rPr>
          <w:rFonts w:hint="eastAsia" w:ascii="宋体" w:hAnsi="宋体"/>
          <w:sz w:val="28"/>
          <w:szCs w:val="28"/>
        </w:rPr>
      </w:pPr>
      <w:r>
        <w:rPr>
          <w:rFonts w:hint="eastAsia" w:ascii="宋体" w:hAnsi="宋体"/>
          <w:sz w:val="28"/>
          <w:szCs w:val="28"/>
        </w:rPr>
        <w:t>由于该站建设时间较长，加油站罩棚、站房均老化，存在安全隐患，加油站进行以下改造：</w:t>
      </w:r>
    </w:p>
    <w:p w14:paraId="075B6F11">
      <w:pPr>
        <w:keepNext w:val="0"/>
        <w:keepLines w:val="0"/>
        <w:pageBreakBefore w:val="0"/>
        <w:widowControl w:val="0"/>
        <w:kinsoku w:val="0"/>
        <w:wordWrap/>
        <w:overflowPunct w:val="0"/>
        <w:topLinePunct/>
        <w:autoSpaceDE/>
        <w:autoSpaceDN/>
        <w:bidi w:val="0"/>
        <w:adjustRightInd w:val="0"/>
        <w:snapToGrid w:val="0"/>
        <w:spacing w:line="360" w:lineRule="auto"/>
        <w:ind w:firstLine="560" w:firstLineChars="200"/>
        <w:textAlignment w:val="auto"/>
        <w:rPr>
          <w:rFonts w:hint="eastAsia" w:ascii="宋体" w:hAnsi="宋体" w:eastAsia="宋体"/>
          <w:spacing w:val="0"/>
          <w:sz w:val="28"/>
          <w:szCs w:val="28"/>
          <w:lang w:eastAsia="zh-CN"/>
        </w:rPr>
      </w:pPr>
      <w:r>
        <w:rPr>
          <w:rFonts w:hint="eastAsia" w:ascii="宋体" w:hAnsi="宋体"/>
          <w:sz w:val="28"/>
          <w:szCs w:val="28"/>
        </w:rPr>
        <w:t>原站房拆除，新建一座框架结构站房；原罩棚拆除，新建一座型钢结构罩棚；原加油岛及6台单枪自吸式加油机拆除，新建加油岛4座，配套防撞柱，更换3台双枪自吸式加油机；原消防一体柜拆除，新建消防一体箱；重做卸油口箱体</w:t>
      </w:r>
      <w:r>
        <w:rPr>
          <w:rFonts w:hint="eastAsia" w:ascii="宋体" w:hAnsi="宋体"/>
          <w:sz w:val="28"/>
          <w:szCs w:val="28"/>
          <w:lang w:eastAsia="zh-CN"/>
        </w:rPr>
        <w:t>，卸油处新建1台卸油流程控制器（具有人体静电释放、车辆静电接地功能）</w:t>
      </w:r>
      <w:r>
        <w:rPr>
          <w:rFonts w:hint="eastAsia" w:ascii="宋体" w:hAnsi="宋体"/>
          <w:spacing w:val="0"/>
          <w:sz w:val="28"/>
          <w:szCs w:val="28"/>
          <w:lang w:eastAsia="zh-CN"/>
        </w:rPr>
        <w:t>。</w:t>
      </w:r>
    </w:p>
    <w:p w14:paraId="31CF3BA2">
      <w:pPr>
        <w:pStyle w:val="18"/>
        <w:widowControl w:val="0"/>
        <w:adjustRightInd w:val="0"/>
        <w:snapToGrid w:val="0"/>
        <w:spacing w:line="360" w:lineRule="auto"/>
        <w:ind w:firstLine="560"/>
        <w:rPr>
          <w:rFonts w:ascii="宋体"/>
          <w:color w:val="auto"/>
        </w:rPr>
      </w:pPr>
      <w:r>
        <w:rPr>
          <w:rFonts w:hint="eastAsia" w:ascii="宋体" w:hAnsi="宋体"/>
          <w:spacing w:val="0"/>
          <w:sz w:val="28"/>
          <w:szCs w:val="28"/>
          <w:lang w:val="en-US" w:eastAsia="zh-CN"/>
        </w:rPr>
        <w:t>该站油罐区利旧，</w:t>
      </w:r>
      <w:r>
        <w:rPr>
          <w:rFonts w:hint="eastAsia" w:ascii="宋体" w:hAnsi="宋体"/>
          <w:spacing w:val="0"/>
          <w:sz w:val="28"/>
          <w:szCs w:val="28"/>
        </w:rPr>
        <w:t>总罐容为</w:t>
      </w:r>
      <w:r>
        <w:rPr>
          <w:rFonts w:hint="eastAsia" w:ascii="宋体" w:hAnsi="宋体"/>
          <w:spacing w:val="0"/>
          <w:sz w:val="28"/>
          <w:szCs w:val="28"/>
          <w:lang w:val="en-US" w:eastAsia="zh-CN"/>
        </w:rPr>
        <w:t>120</w:t>
      </w:r>
      <w:r>
        <w:rPr>
          <w:rFonts w:hint="eastAsia" w:ascii="宋体" w:hAnsi="宋体"/>
          <w:spacing w:val="0"/>
          <w:sz w:val="28"/>
          <w:szCs w:val="28"/>
        </w:rPr>
        <w:t>m³，柴油折半计入总容积为</w:t>
      </w:r>
      <w:r>
        <w:rPr>
          <w:rFonts w:hint="eastAsia" w:ascii="宋体" w:hAnsi="宋体"/>
          <w:spacing w:val="0"/>
          <w:sz w:val="28"/>
          <w:szCs w:val="28"/>
          <w:lang w:val="en-US" w:eastAsia="zh-CN"/>
        </w:rPr>
        <w:t>90</w:t>
      </w:r>
      <w:r>
        <w:rPr>
          <w:rFonts w:hint="eastAsia" w:ascii="宋体" w:hAnsi="宋体"/>
          <w:spacing w:val="0"/>
          <w:sz w:val="28"/>
          <w:szCs w:val="28"/>
        </w:rPr>
        <w:t>m³。根据《汽车加油加气加氢站技术标准》（GB50156-2021）表3.0.9条规定：本站为</w:t>
      </w:r>
      <w:r>
        <w:rPr>
          <w:rFonts w:hint="eastAsia" w:ascii="宋体" w:hAnsi="宋体"/>
          <w:spacing w:val="0"/>
          <w:sz w:val="28"/>
          <w:szCs w:val="28"/>
          <w:lang w:val="en-US" w:eastAsia="zh-CN"/>
        </w:rPr>
        <w:t>三</w:t>
      </w:r>
      <w:r>
        <w:rPr>
          <w:rFonts w:hint="eastAsia" w:ascii="宋体" w:hAnsi="宋体"/>
          <w:spacing w:val="0"/>
          <w:sz w:val="28"/>
          <w:szCs w:val="28"/>
        </w:rPr>
        <w:t>级加油站</w:t>
      </w:r>
      <w:r>
        <w:rPr>
          <w:rFonts w:hint="eastAsia" w:ascii="宋体"/>
          <w:color w:val="auto"/>
        </w:rPr>
        <w:t>。</w:t>
      </w:r>
    </w:p>
    <w:p w14:paraId="32F95F77">
      <w:pPr>
        <w:adjustRightInd w:val="0"/>
        <w:snapToGrid w:val="0"/>
        <w:spacing w:before="468" w:beforeLines="150" w:after="156" w:afterLines="50" w:line="360" w:lineRule="auto"/>
        <w:jc w:val="center"/>
        <w:outlineLvl w:val="0"/>
        <w:rPr>
          <w:rFonts w:hint="eastAsia" w:ascii="黑体" w:eastAsia="黑体"/>
          <w:sz w:val="32"/>
          <w:szCs w:val="32"/>
        </w:rPr>
      </w:pPr>
      <w:r>
        <w:rPr>
          <w:rFonts w:hint="eastAsia" w:ascii="黑体" w:eastAsia="黑体"/>
          <w:b/>
          <w:bCs/>
          <w:sz w:val="32"/>
          <w:szCs w:val="32"/>
        </w:rPr>
        <w:t>4 安全经营条件</w:t>
      </w:r>
    </w:p>
    <w:p w14:paraId="738282E7">
      <w:pPr>
        <w:pStyle w:val="2"/>
        <w:adjustRightInd w:val="0"/>
        <w:snapToGrid w:val="0"/>
        <w:spacing w:before="0" w:after="0" w:line="360" w:lineRule="auto"/>
        <w:jc w:val="center"/>
        <w:rPr>
          <w:rFonts w:hint="eastAsia" w:ascii="楷体_GB2312" w:eastAsia="楷体_GB2312"/>
        </w:rPr>
      </w:pPr>
      <w:bookmarkStart w:id="2" w:name="_Toc24253"/>
      <w:r>
        <w:rPr>
          <w:rFonts w:hint="eastAsia" w:ascii="楷体_GB2312" w:eastAsia="楷体_GB2312"/>
        </w:rPr>
        <w:t>4.1 评价单元划分</w:t>
      </w:r>
      <w:bookmarkEnd w:id="2"/>
    </w:p>
    <w:p w14:paraId="17B8F5DF">
      <w:pPr>
        <w:adjustRightInd w:val="0"/>
        <w:snapToGrid w:val="0"/>
        <w:spacing w:line="360" w:lineRule="auto"/>
        <w:ind w:firstLine="560" w:firstLineChars="200"/>
        <w:rPr>
          <w:rFonts w:hint="eastAsia" w:ascii="宋体" w:hAnsi="宋体"/>
          <w:snapToGrid w:val="0"/>
          <w:spacing w:val="0"/>
          <w:kern w:val="0"/>
          <w:sz w:val="28"/>
        </w:rPr>
      </w:pPr>
      <w:r>
        <w:rPr>
          <w:rFonts w:hint="eastAsia" w:ascii="宋体" w:hAnsi="宋体"/>
          <w:snapToGrid w:val="0"/>
          <w:spacing w:val="0"/>
          <w:kern w:val="0"/>
          <w:sz w:val="28"/>
        </w:rPr>
        <w:t>根据中国石化山东泰山石油股份有限公司</w:t>
      </w:r>
      <w:r>
        <w:rPr>
          <w:rFonts w:hint="eastAsia" w:ascii="宋体" w:hAnsi="宋体"/>
          <w:snapToGrid w:val="0"/>
          <w:spacing w:val="0"/>
          <w:kern w:val="0"/>
          <w:sz w:val="28"/>
          <w:lang w:eastAsia="zh-CN"/>
        </w:rPr>
        <w:t>肥城第十加油站改建项目</w:t>
      </w:r>
      <w:r>
        <w:rPr>
          <w:rFonts w:hint="eastAsia" w:ascii="宋体" w:hAnsi="宋体"/>
          <w:snapToGrid w:val="0"/>
          <w:spacing w:val="0"/>
          <w:kern w:val="0"/>
          <w:sz w:val="28"/>
        </w:rPr>
        <w:t>的特点，本次安全评价划分为</w:t>
      </w:r>
      <w:r>
        <w:rPr>
          <w:rFonts w:hint="eastAsia" w:ascii="宋体" w:hAnsi="宋体"/>
          <w:snapToGrid w:val="0"/>
          <w:spacing w:val="0"/>
          <w:kern w:val="0"/>
          <w:sz w:val="28"/>
          <w:lang w:val="en-US" w:eastAsia="zh-CN"/>
        </w:rPr>
        <w:t>4</w:t>
      </w:r>
      <w:r>
        <w:rPr>
          <w:rFonts w:hint="eastAsia" w:ascii="宋体" w:hAnsi="宋体"/>
          <w:snapToGrid w:val="0"/>
          <w:spacing w:val="0"/>
          <w:kern w:val="0"/>
          <w:sz w:val="28"/>
        </w:rPr>
        <w:t>个单元，即安全管理、站址选择及总平面布置、加油工艺及设施、其它设施。</w:t>
      </w:r>
    </w:p>
    <w:p w14:paraId="74B7F5D8">
      <w:pPr>
        <w:pStyle w:val="2"/>
        <w:adjustRightInd w:val="0"/>
        <w:snapToGrid w:val="0"/>
        <w:spacing w:before="0" w:after="0" w:line="360" w:lineRule="auto"/>
        <w:jc w:val="center"/>
        <w:rPr>
          <w:rFonts w:hint="eastAsia" w:ascii="楷体_GB2312" w:eastAsia="楷体_GB2312"/>
        </w:rPr>
      </w:pPr>
      <w:bookmarkStart w:id="3" w:name="_Toc2379"/>
      <w:r>
        <w:rPr>
          <w:rFonts w:hint="eastAsia" w:ascii="楷体_GB2312" w:eastAsia="楷体_GB2312"/>
        </w:rPr>
        <w:t>4.2 评价方法选择</w:t>
      </w:r>
      <w:bookmarkEnd w:id="3"/>
    </w:p>
    <w:p w14:paraId="7F7F16E9">
      <w:pPr>
        <w:adjustRightInd w:val="0"/>
        <w:snapToGrid w:val="0"/>
        <w:spacing w:line="360" w:lineRule="auto"/>
        <w:ind w:firstLine="562" w:firstLineChars="200"/>
        <w:outlineLvl w:val="2"/>
        <w:rPr>
          <w:rFonts w:hint="eastAsia" w:ascii="黑体" w:hAnsi="宋体" w:eastAsia="黑体"/>
          <w:b/>
          <w:sz w:val="28"/>
          <w:szCs w:val="28"/>
        </w:rPr>
      </w:pPr>
      <w:r>
        <w:rPr>
          <w:rFonts w:hint="eastAsia" w:ascii="黑体" w:hAnsi="宋体" w:eastAsia="黑体"/>
          <w:b/>
          <w:sz w:val="28"/>
          <w:szCs w:val="28"/>
        </w:rPr>
        <w:t>4.2.1 评价方法选用表</w:t>
      </w:r>
    </w:p>
    <w:p w14:paraId="17D38548">
      <w:pPr>
        <w:adjustRightInd w:val="0"/>
        <w:snapToGrid w:val="0"/>
        <w:spacing w:line="360" w:lineRule="auto"/>
        <w:ind w:firstLine="560" w:firstLineChars="200"/>
        <w:rPr>
          <w:rFonts w:hint="eastAsia" w:ascii="宋体" w:hAnsi="宋体"/>
          <w:snapToGrid w:val="0"/>
          <w:spacing w:val="0"/>
          <w:kern w:val="0"/>
          <w:sz w:val="28"/>
        </w:rPr>
      </w:pPr>
      <w:r>
        <w:rPr>
          <w:rFonts w:hint="eastAsia" w:ascii="宋体" w:hAnsi="宋体"/>
          <w:snapToGrid w:val="0"/>
          <w:spacing w:val="0"/>
          <w:kern w:val="0"/>
          <w:sz w:val="28"/>
        </w:rPr>
        <w:t>首先,我们运用安全检查表的方法对本项目的设计进行检查，确定本项目的总体安全性。然后，根据各评价单元的特点选择适合的评价方法进行评价，具体方法选择见表4.2-1。</w:t>
      </w:r>
    </w:p>
    <w:p w14:paraId="67C07F16">
      <w:pPr>
        <w:pStyle w:val="25"/>
        <w:adjustRightInd w:val="0"/>
        <w:snapToGrid w:val="0"/>
        <w:spacing w:line="360" w:lineRule="auto"/>
        <w:outlineLvl w:val="9"/>
        <w:rPr>
          <w:rFonts w:hint="eastAsia"/>
          <w:color w:val="auto"/>
        </w:rPr>
      </w:pPr>
      <w:r>
        <w:rPr>
          <w:rFonts w:hint="eastAsia"/>
          <w:color w:val="auto"/>
        </w:rPr>
        <w:t>表4.2-1 评价方法选用表</w:t>
      </w:r>
    </w:p>
    <w:tbl>
      <w:tblPr>
        <w:tblStyle w:val="12"/>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30"/>
        <w:gridCol w:w="3196"/>
        <w:gridCol w:w="3762"/>
      </w:tblGrid>
      <w:tr w14:paraId="4F656F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254" w:type="pct"/>
            <w:noWrap w:val="0"/>
            <w:vAlign w:val="center"/>
          </w:tcPr>
          <w:p w14:paraId="43843475">
            <w:pPr>
              <w:pStyle w:val="27"/>
              <w:adjustRightInd w:val="0"/>
              <w:spacing w:line="360" w:lineRule="auto"/>
              <w:rPr>
                <w:rFonts w:hint="eastAsia" w:ascii="宋体" w:hAnsi="宋体"/>
                <w:snapToGrid/>
                <w:kern w:val="2"/>
              </w:rPr>
            </w:pPr>
            <w:r>
              <w:rPr>
                <w:rFonts w:hint="eastAsia" w:ascii="宋体" w:hAnsi="宋体"/>
                <w:snapToGrid/>
                <w:kern w:val="2"/>
              </w:rPr>
              <w:t>序号</w:t>
            </w:r>
          </w:p>
        </w:tc>
        <w:tc>
          <w:tcPr>
            <w:tcW w:w="1720" w:type="pct"/>
            <w:noWrap w:val="0"/>
            <w:vAlign w:val="center"/>
          </w:tcPr>
          <w:p w14:paraId="12C87625">
            <w:pPr>
              <w:pStyle w:val="27"/>
              <w:adjustRightInd w:val="0"/>
              <w:spacing w:line="360" w:lineRule="auto"/>
              <w:rPr>
                <w:rFonts w:hint="eastAsia" w:ascii="宋体" w:hAnsi="宋体"/>
                <w:snapToGrid/>
                <w:kern w:val="2"/>
              </w:rPr>
            </w:pPr>
            <w:r>
              <w:rPr>
                <w:rFonts w:hint="eastAsia" w:ascii="宋体" w:hAnsi="宋体"/>
                <w:snapToGrid/>
                <w:kern w:val="2"/>
              </w:rPr>
              <w:t>评价单元名称</w:t>
            </w:r>
          </w:p>
        </w:tc>
        <w:tc>
          <w:tcPr>
            <w:tcW w:w="2024" w:type="pct"/>
            <w:noWrap w:val="0"/>
            <w:vAlign w:val="center"/>
          </w:tcPr>
          <w:p w14:paraId="2BDBEC69">
            <w:pPr>
              <w:pStyle w:val="27"/>
              <w:adjustRightInd w:val="0"/>
              <w:spacing w:line="360" w:lineRule="auto"/>
              <w:rPr>
                <w:rFonts w:hint="eastAsia" w:ascii="宋体" w:hAnsi="宋体"/>
                <w:snapToGrid/>
                <w:kern w:val="2"/>
              </w:rPr>
            </w:pPr>
            <w:r>
              <w:rPr>
                <w:rFonts w:hint="eastAsia" w:ascii="宋体" w:hAnsi="宋体"/>
                <w:snapToGrid/>
                <w:kern w:val="2"/>
              </w:rPr>
              <w:t>采用的评价方法</w:t>
            </w:r>
          </w:p>
        </w:tc>
      </w:tr>
      <w:tr w14:paraId="21702E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1254" w:type="pct"/>
            <w:noWrap w:val="0"/>
            <w:vAlign w:val="center"/>
          </w:tcPr>
          <w:p w14:paraId="6377586E">
            <w:pPr>
              <w:pStyle w:val="27"/>
              <w:adjustRightInd w:val="0"/>
              <w:spacing w:line="360" w:lineRule="auto"/>
              <w:rPr>
                <w:rFonts w:hint="eastAsia" w:ascii="宋体" w:hAnsi="宋体"/>
                <w:snapToGrid/>
                <w:kern w:val="2"/>
                <w:sz w:val="24"/>
              </w:rPr>
            </w:pPr>
            <w:r>
              <w:rPr>
                <w:rFonts w:hint="eastAsia" w:ascii="宋体" w:hAnsi="宋体"/>
                <w:snapToGrid/>
                <w:kern w:val="2"/>
                <w:sz w:val="24"/>
              </w:rPr>
              <w:t>P</w:t>
            </w:r>
            <w:r>
              <w:rPr>
                <w:rFonts w:hint="eastAsia" w:ascii="宋体" w:hAnsi="宋体"/>
                <w:snapToGrid/>
                <w:kern w:val="2"/>
                <w:sz w:val="24"/>
                <w:vertAlign w:val="subscript"/>
              </w:rPr>
              <w:t>1</w:t>
            </w:r>
          </w:p>
        </w:tc>
        <w:tc>
          <w:tcPr>
            <w:tcW w:w="1720" w:type="pct"/>
            <w:noWrap w:val="0"/>
            <w:vAlign w:val="center"/>
          </w:tcPr>
          <w:p w14:paraId="57F08633">
            <w:pPr>
              <w:adjustRightInd w:val="0"/>
              <w:snapToGrid w:val="0"/>
              <w:spacing w:line="360" w:lineRule="auto"/>
              <w:jc w:val="center"/>
              <w:rPr>
                <w:rFonts w:hint="eastAsia" w:ascii="宋体" w:hAnsi="宋体"/>
              </w:rPr>
            </w:pPr>
            <w:r>
              <w:rPr>
                <w:rFonts w:hint="eastAsia"/>
                <w:szCs w:val="28"/>
              </w:rPr>
              <w:t>安全管理</w:t>
            </w:r>
          </w:p>
        </w:tc>
        <w:tc>
          <w:tcPr>
            <w:tcW w:w="2024" w:type="pct"/>
            <w:noWrap w:val="0"/>
            <w:vAlign w:val="center"/>
          </w:tcPr>
          <w:p w14:paraId="07768F89">
            <w:pPr>
              <w:pStyle w:val="27"/>
              <w:adjustRightInd w:val="0"/>
              <w:spacing w:line="360" w:lineRule="auto"/>
              <w:rPr>
                <w:rFonts w:hint="eastAsia" w:ascii="宋体" w:hAnsi="宋体"/>
                <w:snapToGrid/>
                <w:kern w:val="2"/>
              </w:rPr>
            </w:pPr>
            <w:r>
              <w:rPr>
                <w:rFonts w:hint="eastAsia" w:ascii="宋体" w:hAnsi="宋体"/>
                <w:snapToGrid/>
                <w:kern w:val="2"/>
              </w:rPr>
              <w:t>安全检查表</w:t>
            </w:r>
          </w:p>
        </w:tc>
      </w:tr>
      <w:tr w14:paraId="41FAD3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1254" w:type="pct"/>
            <w:noWrap w:val="0"/>
            <w:vAlign w:val="center"/>
          </w:tcPr>
          <w:p w14:paraId="7B32EADD">
            <w:pPr>
              <w:pStyle w:val="27"/>
              <w:adjustRightInd w:val="0"/>
              <w:spacing w:line="360" w:lineRule="auto"/>
              <w:rPr>
                <w:rFonts w:hint="eastAsia" w:ascii="宋体" w:hAnsi="宋体"/>
                <w:snapToGrid/>
                <w:kern w:val="2"/>
                <w:sz w:val="24"/>
              </w:rPr>
            </w:pPr>
            <w:r>
              <w:rPr>
                <w:rFonts w:hint="eastAsia" w:ascii="宋体" w:hAnsi="宋体"/>
                <w:snapToGrid/>
                <w:kern w:val="2"/>
                <w:sz w:val="24"/>
              </w:rPr>
              <w:t>P</w:t>
            </w:r>
            <w:r>
              <w:rPr>
                <w:rFonts w:hint="eastAsia" w:ascii="宋体" w:hAnsi="宋体"/>
                <w:snapToGrid/>
                <w:kern w:val="2"/>
                <w:sz w:val="24"/>
                <w:vertAlign w:val="subscript"/>
              </w:rPr>
              <w:t>2</w:t>
            </w:r>
          </w:p>
        </w:tc>
        <w:tc>
          <w:tcPr>
            <w:tcW w:w="1720" w:type="pct"/>
            <w:noWrap w:val="0"/>
            <w:vAlign w:val="center"/>
          </w:tcPr>
          <w:p w14:paraId="128D8307">
            <w:pPr>
              <w:adjustRightInd w:val="0"/>
              <w:snapToGrid w:val="0"/>
              <w:spacing w:line="360" w:lineRule="auto"/>
              <w:jc w:val="center"/>
              <w:rPr>
                <w:rFonts w:hint="eastAsia" w:ascii="宋体" w:hAnsi="宋体"/>
              </w:rPr>
            </w:pPr>
            <w:r>
              <w:rPr>
                <w:rFonts w:hint="eastAsia"/>
                <w:szCs w:val="28"/>
              </w:rPr>
              <w:t>站址选择</w:t>
            </w:r>
            <w:r>
              <w:rPr>
                <w:rFonts w:hint="eastAsia" w:ascii="宋体" w:hAnsi="宋体"/>
              </w:rPr>
              <w:t>总平面布置</w:t>
            </w:r>
          </w:p>
        </w:tc>
        <w:tc>
          <w:tcPr>
            <w:tcW w:w="2024" w:type="pct"/>
            <w:noWrap w:val="0"/>
            <w:vAlign w:val="center"/>
          </w:tcPr>
          <w:p w14:paraId="6A10858C">
            <w:pPr>
              <w:pStyle w:val="27"/>
              <w:adjustRightInd w:val="0"/>
              <w:spacing w:line="360" w:lineRule="auto"/>
              <w:rPr>
                <w:rFonts w:hint="eastAsia" w:ascii="宋体" w:hAnsi="宋体"/>
                <w:snapToGrid/>
                <w:kern w:val="2"/>
              </w:rPr>
            </w:pPr>
            <w:r>
              <w:rPr>
                <w:rFonts w:hint="eastAsia" w:ascii="宋体" w:hAnsi="宋体"/>
                <w:snapToGrid/>
                <w:kern w:val="2"/>
              </w:rPr>
              <w:t>安全检查表</w:t>
            </w:r>
          </w:p>
        </w:tc>
      </w:tr>
      <w:tr w14:paraId="650611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254" w:type="pct"/>
            <w:noWrap w:val="0"/>
            <w:vAlign w:val="center"/>
          </w:tcPr>
          <w:p w14:paraId="090E74A3">
            <w:pPr>
              <w:pStyle w:val="27"/>
              <w:adjustRightInd w:val="0"/>
              <w:spacing w:line="360" w:lineRule="auto"/>
              <w:rPr>
                <w:rFonts w:hint="eastAsia" w:ascii="宋体" w:hAnsi="宋体"/>
                <w:snapToGrid/>
                <w:kern w:val="2"/>
                <w:sz w:val="24"/>
              </w:rPr>
            </w:pPr>
            <w:r>
              <w:rPr>
                <w:rFonts w:hint="eastAsia" w:ascii="宋体" w:hAnsi="宋体"/>
                <w:snapToGrid/>
                <w:kern w:val="2"/>
                <w:sz w:val="24"/>
              </w:rPr>
              <w:t>P</w:t>
            </w:r>
            <w:r>
              <w:rPr>
                <w:rFonts w:hint="eastAsia" w:ascii="宋体" w:hAnsi="宋体"/>
                <w:snapToGrid/>
                <w:kern w:val="2"/>
                <w:sz w:val="24"/>
                <w:vertAlign w:val="subscript"/>
              </w:rPr>
              <w:t>3</w:t>
            </w:r>
          </w:p>
        </w:tc>
        <w:tc>
          <w:tcPr>
            <w:tcW w:w="1720" w:type="pct"/>
            <w:noWrap w:val="0"/>
            <w:vAlign w:val="center"/>
          </w:tcPr>
          <w:p w14:paraId="3B46E610">
            <w:pPr>
              <w:adjustRightInd w:val="0"/>
              <w:snapToGrid w:val="0"/>
              <w:spacing w:line="360" w:lineRule="auto"/>
              <w:jc w:val="center"/>
              <w:rPr>
                <w:rFonts w:hint="eastAsia" w:ascii="宋体" w:hAnsi="宋体"/>
              </w:rPr>
            </w:pPr>
            <w:r>
              <w:rPr>
                <w:rFonts w:hint="eastAsia"/>
                <w:szCs w:val="28"/>
              </w:rPr>
              <w:t>加油工艺及设施</w:t>
            </w:r>
          </w:p>
        </w:tc>
        <w:tc>
          <w:tcPr>
            <w:tcW w:w="2024" w:type="pct"/>
            <w:noWrap w:val="0"/>
            <w:vAlign w:val="center"/>
          </w:tcPr>
          <w:p w14:paraId="452330AF">
            <w:pPr>
              <w:pStyle w:val="27"/>
              <w:adjustRightInd w:val="0"/>
              <w:spacing w:line="360" w:lineRule="auto"/>
              <w:rPr>
                <w:rFonts w:hint="eastAsia" w:ascii="宋体" w:hAnsi="宋体"/>
                <w:snapToGrid/>
                <w:kern w:val="2"/>
                <w:szCs w:val="21"/>
              </w:rPr>
            </w:pPr>
            <w:r>
              <w:rPr>
                <w:rFonts w:hint="eastAsia" w:ascii="宋体" w:hAnsi="宋体"/>
                <w:snapToGrid/>
                <w:kern w:val="2"/>
                <w:szCs w:val="21"/>
              </w:rPr>
              <w:t>安全检查表、PHA、事故树</w:t>
            </w:r>
          </w:p>
        </w:tc>
      </w:tr>
      <w:tr w14:paraId="14AEF5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1254" w:type="pct"/>
            <w:noWrap w:val="0"/>
            <w:vAlign w:val="center"/>
          </w:tcPr>
          <w:p w14:paraId="1B70C30C">
            <w:pPr>
              <w:pStyle w:val="27"/>
              <w:adjustRightInd w:val="0"/>
              <w:spacing w:line="360" w:lineRule="auto"/>
              <w:rPr>
                <w:rFonts w:hint="eastAsia" w:ascii="宋体" w:hAnsi="宋体"/>
                <w:snapToGrid/>
                <w:kern w:val="2"/>
                <w:sz w:val="24"/>
              </w:rPr>
            </w:pPr>
            <w:r>
              <w:rPr>
                <w:rFonts w:hint="eastAsia" w:ascii="宋体" w:hAnsi="宋体"/>
                <w:snapToGrid/>
                <w:kern w:val="2"/>
                <w:sz w:val="24"/>
              </w:rPr>
              <w:t>P</w:t>
            </w:r>
            <w:r>
              <w:rPr>
                <w:rFonts w:hint="eastAsia" w:ascii="宋体" w:hAnsi="宋体"/>
                <w:snapToGrid/>
                <w:kern w:val="2"/>
                <w:sz w:val="24"/>
                <w:vertAlign w:val="subscript"/>
              </w:rPr>
              <w:t>4</w:t>
            </w:r>
          </w:p>
        </w:tc>
        <w:tc>
          <w:tcPr>
            <w:tcW w:w="1720" w:type="pct"/>
            <w:noWrap w:val="0"/>
            <w:vAlign w:val="center"/>
          </w:tcPr>
          <w:p w14:paraId="7D93499D">
            <w:pPr>
              <w:adjustRightInd w:val="0"/>
              <w:snapToGrid w:val="0"/>
              <w:spacing w:line="360" w:lineRule="auto"/>
              <w:jc w:val="center"/>
              <w:rPr>
                <w:rFonts w:hint="eastAsia" w:ascii="宋体" w:hAnsi="宋体"/>
              </w:rPr>
            </w:pPr>
            <w:r>
              <w:rPr>
                <w:rFonts w:hint="eastAsia" w:ascii="宋体" w:hAnsi="宋体"/>
                <w:szCs w:val="28"/>
              </w:rPr>
              <w:t>其它设施</w:t>
            </w:r>
          </w:p>
        </w:tc>
        <w:tc>
          <w:tcPr>
            <w:tcW w:w="2024" w:type="pct"/>
            <w:noWrap w:val="0"/>
            <w:vAlign w:val="center"/>
          </w:tcPr>
          <w:p w14:paraId="0D9C06C1">
            <w:pPr>
              <w:widowControl/>
              <w:adjustRightInd w:val="0"/>
              <w:snapToGrid w:val="0"/>
              <w:spacing w:line="360" w:lineRule="auto"/>
              <w:jc w:val="center"/>
              <w:rPr>
                <w:rFonts w:hint="eastAsia" w:ascii="宋体" w:hAnsi="宋体"/>
              </w:rPr>
            </w:pPr>
            <w:r>
              <w:rPr>
                <w:rFonts w:hint="eastAsia" w:ascii="宋体" w:hAnsi="宋体"/>
              </w:rPr>
              <w:t>安全检查表</w:t>
            </w:r>
          </w:p>
        </w:tc>
      </w:tr>
    </w:tbl>
    <w:p w14:paraId="1DC13641">
      <w:pPr>
        <w:adjustRightInd w:val="0"/>
        <w:snapToGrid w:val="0"/>
        <w:spacing w:line="360" w:lineRule="auto"/>
        <w:ind w:firstLine="562" w:firstLineChars="200"/>
        <w:outlineLvl w:val="2"/>
        <w:rPr>
          <w:rFonts w:hint="eastAsia" w:ascii="黑体" w:hAnsi="宋体" w:eastAsia="黑体"/>
          <w:b/>
          <w:sz w:val="28"/>
          <w:szCs w:val="28"/>
        </w:rPr>
      </w:pPr>
      <w:r>
        <w:rPr>
          <w:rFonts w:hint="eastAsia" w:ascii="黑体" w:hAnsi="宋体" w:eastAsia="黑体"/>
          <w:b/>
          <w:sz w:val="28"/>
          <w:szCs w:val="28"/>
        </w:rPr>
        <w:t>4.2.2 评价方法选用说明</w:t>
      </w:r>
    </w:p>
    <w:p w14:paraId="155B522D">
      <w:pPr>
        <w:adjustRightInd w:val="0"/>
        <w:snapToGrid w:val="0"/>
        <w:spacing w:line="360" w:lineRule="auto"/>
        <w:ind w:firstLine="560" w:firstLineChars="200"/>
        <w:rPr>
          <w:rFonts w:hint="eastAsia" w:ascii="宋体" w:hAnsi="宋体"/>
          <w:snapToGrid w:val="0"/>
          <w:spacing w:val="0"/>
          <w:kern w:val="0"/>
          <w:sz w:val="28"/>
        </w:rPr>
      </w:pPr>
      <w:r>
        <w:rPr>
          <w:rFonts w:hint="eastAsia" w:ascii="宋体" w:hAnsi="宋体"/>
          <w:snapToGrid w:val="0"/>
          <w:spacing w:val="0"/>
          <w:kern w:val="0"/>
          <w:sz w:val="28"/>
        </w:rPr>
        <w:t>（1）对上述</w:t>
      </w:r>
      <w:r>
        <w:rPr>
          <w:rFonts w:hint="eastAsia" w:ascii="宋体" w:hAnsi="宋体"/>
          <w:snapToGrid w:val="0"/>
          <w:spacing w:val="0"/>
          <w:kern w:val="0"/>
          <w:sz w:val="28"/>
          <w:lang w:val="en-US" w:eastAsia="zh-CN"/>
        </w:rPr>
        <w:t>4</w:t>
      </w:r>
      <w:r>
        <w:rPr>
          <w:rFonts w:hint="eastAsia" w:ascii="宋体" w:hAnsi="宋体"/>
          <w:snapToGrid w:val="0"/>
          <w:spacing w:val="0"/>
          <w:kern w:val="0"/>
          <w:sz w:val="28"/>
        </w:rPr>
        <w:t>个评价单元采用安全检查表法，判断设计、安装中涉及的安全设施及对策措施的充分性。</w:t>
      </w:r>
    </w:p>
    <w:p w14:paraId="70BB3C00">
      <w:pPr>
        <w:adjustRightInd w:val="0"/>
        <w:snapToGrid w:val="0"/>
        <w:spacing w:line="360" w:lineRule="auto"/>
        <w:ind w:firstLine="560" w:firstLineChars="200"/>
        <w:rPr>
          <w:rFonts w:hint="eastAsia" w:ascii="宋体" w:hAnsi="宋体"/>
          <w:snapToGrid w:val="0"/>
          <w:spacing w:val="0"/>
          <w:kern w:val="0"/>
          <w:sz w:val="28"/>
        </w:rPr>
      </w:pPr>
      <w:r>
        <w:rPr>
          <w:rFonts w:hint="eastAsia" w:ascii="宋体" w:hAnsi="宋体"/>
          <w:snapToGrid w:val="0"/>
          <w:spacing w:val="0"/>
          <w:kern w:val="0"/>
          <w:sz w:val="28"/>
        </w:rPr>
        <w:t>（2）对上述</w:t>
      </w:r>
      <w:r>
        <w:rPr>
          <w:rFonts w:hint="eastAsia" w:ascii="宋体" w:hAnsi="宋体"/>
          <w:snapToGrid w:val="0"/>
          <w:spacing w:val="0"/>
          <w:kern w:val="0"/>
          <w:sz w:val="28"/>
          <w:lang w:val="en-US" w:eastAsia="zh-CN"/>
        </w:rPr>
        <w:t>4</w:t>
      </w:r>
      <w:r>
        <w:rPr>
          <w:rFonts w:hint="eastAsia" w:ascii="宋体" w:hAnsi="宋体"/>
          <w:snapToGrid w:val="0"/>
          <w:spacing w:val="0"/>
          <w:kern w:val="0"/>
          <w:sz w:val="28"/>
        </w:rPr>
        <w:t>个评价单元存在的危险、有害因素采用预先危险性分析法（PHA），预测各危险、有害因素的固有危险、有害程度。</w:t>
      </w:r>
    </w:p>
    <w:p w14:paraId="1D8EF568">
      <w:pPr>
        <w:adjustRightInd w:val="0"/>
        <w:snapToGrid w:val="0"/>
        <w:spacing w:line="360" w:lineRule="auto"/>
        <w:ind w:firstLine="560" w:firstLineChars="200"/>
        <w:rPr>
          <w:rFonts w:hint="eastAsia" w:ascii="宋体" w:hAnsi="宋体"/>
          <w:snapToGrid w:val="0"/>
          <w:spacing w:val="0"/>
          <w:kern w:val="0"/>
          <w:sz w:val="28"/>
        </w:rPr>
      </w:pPr>
      <w:r>
        <w:rPr>
          <w:rFonts w:hint="eastAsia" w:ascii="宋体" w:hAnsi="宋体"/>
          <w:snapToGrid w:val="0"/>
          <w:spacing w:val="0"/>
          <w:kern w:val="0"/>
          <w:sz w:val="28"/>
        </w:rPr>
        <w:t>（3）通过事故树分析详细查明系统各种固有、潜在的危险因素或事故原因，为项目正式运营制定安全技术对策、采取安全管理措施和事故分析提供依据。</w:t>
      </w:r>
    </w:p>
    <w:p w14:paraId="0D44F414">
      <w:pPr>
        <w:pStyle w:val="4"/>
        <w:rPr>
          <w:rFonts w:hint="default"/>
          <w:lang w:val="en-US" w:eastAsia="zh-CN"/>
        </w:rPr>
      </w:pPr>
    </w:p>
    <w:p w14:paraId="3853A0C8">
      <w:pPr>
        <w:pStyle w:val="4"/>
        <w:rPr>
          <w:rFonts w:hint="default"/>
          <w:lang w:val="en-US" w:eastAsia="zh-CN"/>
        </w:rPr>
      </w:pPr>
    </w:p>
    <w:p w14:paraId="2F2E377C">
      <w:pPr>
        <w:pStyle w:val="4"/>
        <w:rPr>
          <w:rFonts w:hint="default"/>
          <w:lang w:val="en-US" w:eastAsia="zh-CN"/>
        </w:rPr>
      </w:pPr>
    </w:p>
    <w:p w14:paraId="07FE4053">
      <w:pPr>
        <w:rPr>
          <w:rFonts w:hint="eastAsia" w:ascii="楷体_GB2312" w:eastAsia="楷体_GB2312"/>
        </w:rPr>
      </w:pPr>
      <w:bookmarkStart w:id="4" w:name="_Toc30305"/>
      <w:r>
        <w:rPr>
          <w:rFonts w:hint="eastAsia" w:ascii="楷体_GB2312" w:eastAsia="楷体_GB2312"/>
        </w:rPr>
        <w:br w:type="page"/>
      </w:r>
    </w:p>
    <w:p w14:paraId="1CFE9AA5">
      <w:pPr>
        <w:pStyle w:val="2"/>
        <w:adjustRightInd w:val="0"/>
        <w:snapToGrid w:val="0"/>
        <w:spacing w:before="0" w:after="0" w:line="360" w:lineRule="auto"/>
        <w:jc w:val="center"/>
        <w:rPr>
          <w:rFonts w:hint="eastAsia" w:ascii="楷体_GB2312" w:eastAsia="楷体_GB2312"/>
        </w:rPr>
      </w:pPr>
      <w:r>
        <w:rPr>
          <w:rFonts w:hint="eastAsia" w:ascii="楷体_GB2312" w:eastAsia="楷体_GB2312"/>
        </w:rPr>
        <w:t>8.2 存在问题及改进建议</w:t>
      </w:r>
      <w:bookmarkEnd w:id="4"/>
    </w:p>
    <w:p w14:paraId="5FB9CB68">
      <w:pPr>
        <w:adjustRightInd w:val="0"/>
        <w:snapToGrid w:val="0"/>
        <w:spacing w:line="360" w:lineRule="auto"/>
        <w:ind w:firstLine="562" w:firstLineChars="200"/>
        <w:outlineLvl w:val="2"/>
        <w:rPr>
          <w:rFonts w:hint="eastAsia" w:ascii="黑体" w:hAnsi="黑体" w:eastAsia="黑体" w:cs="黑体"/>
          <w:b/>
          <w:sz w:val="28"/>
          <w:szCs w:val="28"/>
        </w:rPr>
      </w:pPr>
      <w:r>
        <w:rPr>
          <w:rFonts w:hint="eastAsia" w:ascii="黑体" w:hAnsi="黑体" w:eastAsia="黑体" w:cs="黑体"/>
          <w:b/>
          <w:sz w:val="28"/>
          <w:szCs w:val="28"/>
        </w:rPr>
        <w:t>8.2.1存在问题</w:t>
      </w:r>
    </w:p>
    <w:p w14:paraId="0FD1C200">
      <w:pPr>
        <w:pStyle w:val="25"/>
        <w:adjustRightInd w:val="0"/>
        <w:snapToGrid w:val="0"/>
        <w:spacing w:line="360" w:lineRule="auto"/>
        <w:outlineLvl w:val="9"/>
        <w:rPr>
          <w:rFonts w:hint="eastAsia" w:ascii="黑体" w:hAnsi="黑体"/>
          <w:color w:val="auto"/>
        </w:rPr>
      </w:pPr>
      <w:r>
        <w:rPr>
          <w:rFonts w:hint="eastAsia" w:ascii="黑体" w:hAnsi="黑体"/>
          <w:color w:val="auto"/>
        </w:rPr>
        <w:t>表8.2-1  现场存在问题表</w:t>
      </w:r>
    </w:p>
    <w:tbl>
      <w:tblPr>
        <w:tblStyle w:val="12"/>
        <w:tblW w:w="9419"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818"/>
        <w:gridCol w:w="3698"/>
        <w:gridCol w:w="4903"/>
      </w:tblGrid>
      <w:tr w14:paraId="657FE31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blHeader/>
          <w:jc w:val="center"/>
        </w:trPr>
        <w:tc>
          <w:tcPr>
            <w:tcW w:w="818" w:type="dxa"/>
            <w:noWrap w:val="0"/>
            <w:vAlign w:val="center"/>
          </w:tcPr>
          <w:p w14:paraId="6E722B94">
            <w:pPr>
              <w:widowControl/>
              <w:tabs>
                <w:tab w:val="left" w:pos="6120"/>
              </w:tabs>
              <w:adjustRightInd w:val="0"/>
              <w:snapToGrid w:val="0"/>
              <w:spacing w:before="24" w:beforeLines="10" w:after="24" w:afterLines="10" w:line="320" w:lineRule="exact"/>
              <w:jc w:val="center"/>
              <w:textAlignment w:val="baseline"/>
              <w:rPr>
                <w:rFonts w:hint="eastAsia" w:ascii="宋体" w:hAnsi="宋体" w:cs="宋体"/>
                <w:b/>
                <w:bCs/>
                <w:kern w:val="0"/>
                <w:position w:val="2"/>
                <w:u w:val="none" w:color="000000"/>
              </w:rPr>
            </w:pPr>
            <w:r>
              <w:rPr>
                <w:rFonts w:hint="eastAsia" w:ascii="宋体" w:hAnsi="宋体" w:cs="宋体"/>
                <w:b/>
                <w:bCs/>
                <w:kern w:val="0"/>
                <w:position w:val="2"/>
                <w:u w:val="none" w:color="000000"/>
              </w:rPr>
              <w:t>序号</w:t>
            </w:r>
          </w:p>
        </w:tc>
        <w:tc>
          <w:tcPr>
            <w:tcW w:w="3698" w:type="dxa"/>
            <w:noWrap w:val="0"/>
            <w:vAlign w:val="center"/>
          </w:tcPr>
          <w:p w14:paraId="18FC68BB">
            <w:pPr>
              <w:widowControl/>
              <w:tabs>
                <w:tab w:val="left" w:pos="6120"/>
              </w:tabs>
              <w:adjustRightInd w:val="0"/>
              <w:snapToGrid w:val="0"/>
              <w:spacing w:before="24" w:beforeLines="10" w:after="24" w:afterLines="10" w:line="320" w:lineRule="exact"/>
              <w:jc w:val="center"/>
              <w:textAlignment w:val="baseline"/>
              <w:rPr>
                <w:rFonts w:hint="eastAsia" w:ascii="宋体" w:hAnsi="宋体" w:cs="宋体"/>
                <w:b/>
                <w:bCs/>
                <w:kern w:val="0"/>
                <w:position w:val="2"/>
                <w:u w:val="none" w:color="000000"/>
              </w:rPr>
            </w:pPr>
            <w:r>
              <w:rPr>
                <w:rFonts w:hint="eastAsia" w:ascii="宋体" w:hAnsi="宋体" w:cs="宋体"/>
                <w:b/>
                <w:bCs/>
                <w:kern w:val="0"/>
                <w:position w:val="2"/>
                <w:u w:val="none" w:color="000000"/>
              </w:rPr>
              <w:t>企业存在的问题</w:t>
            </w:r>
          </w:p>
        </w:tc>
        <w:tc>
          <w:tcPr>
            <w:tcW w:w="4903" w:type="dxa"/>
            <w:noWrap w:val="0"/>
            <w:vAlign w:val="center"/>
          </w:tcPr>
          <w:p w14:paraId="4EC10028">
            <w:pPr>
              <w:widowControl/>
              <w:tabs>
                <w:tab w:val="left" w:pos="6120"/>
              </w:tabs>
              <w:adjustRightInd w:val="0"/>
              <w:snapToGrid w:val="0"/>
              <w:spacing w:before="24" w:beforeLines="10" w:after="24" w:afterLines="10" w:line="320" w:lineRule="exact"/>
              <w:jc w:val="center"/>
              <w:textAlignment w:val="baseline"/>
              <w:rPr>
                <w:rFonts w:hint="eastAsia" w:ascii="宋体" w:hAnsi="宋体" w:cs="宋体"/>
                <w:b/>
                <w:bCs/>
                <w:kern w:val="0"/>
                <w:position w:val="2"/>
                <w:u w:val="none" w:color="000000"/>
              </w:rPr>
            </w:pPr>
            <w:r>
              <w:rPr>
                <w:rFonts w:hint="eastAsia" w:ascii="宋体" w:hAnsi="宋体" w:cs="宋体"/>
                <w:b/>
                <w:bCs/>
                <w:kern w:val="0"/>
                <w:position w:val="2"/>
                <w:u w:val="none" w:color="000000"/>
              </w:rPr>
              <w:t>整改建议措施</w:t>
            </w:r>
          </w:p>
        </w:tc>
      </w:tr>
      <w:tr w14:paraId="1EE0A44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18" w:type="dxa"/>
            <w:noWrap w:val="0"/>
            <w:vAlign w:val="center"/>
          </w:tcPr>
          <w:p w14:paraId="7BC79D8F">
            <w:pPr>
              <w:widowControl/>
              <w:tabs>
                <w:tab w:val="left" w:pos="6120"/>
              </w:tabs>
              <w:adjustRightInd w:val="0"/>
              <w:snapToGrid w:val="0"/>
              <w:jc w:val="center"/>
              <w:textAlignment w:val="baseline"/>
              <w:rPr>
                <w:rFonts w:hint="eastAsia" w:ascii="宋体" w:hAnsi="宋体" w:cs="宋体"/>
                <w:bCs/>
                <w:kern w:val="0"/>
                <w:position w:val="2"/>
                <w:u w:val="none" w:color="000000"/>
              </w:rPr>
            </w:pPr>
            <w:r>
              <w:rPr>
                <w:rFonts w:hint="eastAsia" w:ascii="宋体" w:hAnsi="宋体" w:cs="宋体"/>
                <w:bCs/>
                <w:kern w:val="0"/>
                <w:position w:val="2"/>
                <w:u w:val="none" w:color="000000"/>
              </w:rPr>
              <w:t>1</w:t>
            </w:r>
          </w:p>
        </w:tc>
        <w:tc>
          <w:tcPr>
            <w:tcW w:w="3698" w:type="dxa"/>
            <w:noWrap w:val="0"/>
            <w:vAlign w:val="center"/>
          </w:tcPr>
          <w:p w14:paraId="233703E0">
            <w:pPr>
              <w:widowControl/>
              <w:tabs>
                <w:tab w:val="left" w:pos="6120"/>
              </w:tabs>
              <w:adjustRightInd w:val="0"/>
              <w:snapToGrid w:val="0"/>
              <w:jc w:val="center"/>
              <w:textAlignment w:val="baseline"/>
              <w:rPr>
                <w:rFonts w:hint="default" w:ascii="宋体" w:hAnsi="宋体" w:eastAsia="宋体" w:cs="宋体"/>
                <w:bCs/>
                <w:kern w:val="0"/>
                <w:position w:val="2"/>
                <w:u w:val="none" w:color="000000"/>
                <w:lang w:val="en-US" w:eastAsia="zh-CN"/>
              </w:rPr>
            </w:pPr>
            <w:r>
              <w:rPr>
                <w:rFonts w:hint="eastAsia" w:ascii="宋体" w:hAnsi="宋体" w:cs="宋体"/>
                <w:bCs/>
                <w:kern w:val="0"/>
                <w:position w:val="2"/>
                <w:u w:val="none" w:color="000000"/>
                <w:lang w:val="en-US" w:eastAsia="zh-CN"/>
              </w:rPr>
              <w:t>加油站警示标识不完善；</w:t>
            </w:r>
          </w:p>
        </w:tc>
        <w:tc>
          <w:tcPr>
            <w:tcW w:w="4903" w:type="dxa"/>
            <w:noWrap w:val="0"/>
            <w:vAlign w:val="center"/>
          </w:tcPr>
          <w:p w14:paraId="1A1B7DAE">
            <w:pPr>
              <w:widowControl/>
              <w:tabs>
                <w:tab w:val="left" w:pos="6120"/>
              </w:tabs>
              <w:adjustRightInd w:val="0"/>
              <w:snapToGrid w:val="0"/>
              <w:jc w:val="center"/>
              <w:textAlignment w:val="baseline"/>
              <w:rPr>
                <w:rFonts w:hint="eastAsia" w:ascii="宋体" w:hAnsi="宋体" w:cs="宋体"/>
                <w:bCs/>
                <w:kern w:val="0"/>
                <w:position w:val="2"/>
                <w:u w:val="none" w:color="000000"/>
              </w:rPr>
            </w:pPr>
            <w:r>
              <w:rPr>
                <w:rFonts w:hint="eastAsia" w:ascii="宋体" w:hAnsi="宋体" w:cs="宋体"/>
                <w:bCs/>
                <w:kern w:val="0"/>
                <w:position w:val="2"/>
                <w:u w:val="none" w:color="000000"/>
                <w:lang w:val="en-US" w:eastAsia="zh-CN"/>
              </w:rPr>
              <w:t>加油站警示标识应补充完善；</w:t>
            </w:r>
          </w:p>
        </w:tc>
      </w:tr>
      <w:tr w14:paraId="17B998D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18" w:type="dxa"/>
            <w:noWrap w:val="0"/>
            <w:vAlign w:val="center"/>
          </w:tcPr>
          <w:p w14:paraId="08F4C63D">
            <w:pPr>
              <w:widowControl/>
              <w:tabs>
                <w:tab w:val="left" w:pos="6120"/>
              </w:tabs>
              <w:adjustRightInd w:val="0"/>
              <w:snapToGrid w:val="0"/>
              <w:jc w:val="center"/>
              <w:textAlignment w:val="baseline"/>
              <w:rPr>
                <w:rFonts w:hint="eastAsia" w:ascii="宋体" w:hAnsi="宋体" w:cs="宋体"/>
                <w:bCs/>
                <w:kern w:val="0"/>
                <w:position w:val="2"/>
                <w:u w:val="none" w:color="000000"/>
              </w:rPr>
            </w:pPr>
            <w:r>
              <w:rPr>
                <w:rFonts w:hint="eastAsia" w:ascii="宋体" w:hAnsi="宋体" w:cs="宋体"/>
                <w:bCs/>
                <w:kern w:val="0"/>
                <w:position w:val="2"/>
                <w:u w:val="none" w:color="000000"/>
              </w:rPr>
              <w:t>2</w:t>
            </w:r>
          </w:p>
        </w:tc>
        <w:tc>
          <w:tcPr>
            <w:tcW w:w="3698" w:type="dxa"/>
            <w:noWrap w:val="0"/>
            <w:vAlign w:val="center"/>
          </w:tcPr>
          <w:p w14:paraId="1103114E">
            <w:pPr>
              <w:widowControl/>
              <w:tabs>
                <w:tab w:val="left" w:pos="6120"/>
              </w:tabs>
              <w:adjustRightInd w:val="0"/>
              <w:snapToGrid w:val="0"/>
              <w:jc w:val="center"/>
              <w:textAlignment w:val="baseline"/>
              <w:rPr>
                <w:rFonts w:hint="default" w:ascii="宋体" w:hAnsi="宋体" w:eastAsia="宋体" w:cs="宋体"/>
                <w:kern w:val="0"/>
                <w:u w:val="none" w:color="000000"/>
                <w:lang w:val="en-US" w:eastAsia="zh-CN"/>
              </w:rPr>
            </w:pPr>
            <w:r>
              <w:rPr>
                <w:rFonts w:hint="eastAsia" w:ascii="宋体" w:hAnsi="宋体" w:cs="宋体"/>
                <w:kern w:val="0"/>
                <w:u w:val="none" w:color="000000"/>
                <w:lang w:val="en-US" w:eastAsia="zh-CN"/>
              </w:rPr>
              <w:t>液位仪、测漏仪未正常使用；</w:t>
            </w:r>
          </w:p>
        </w:tc>
        <w:tc>
          <w:tcPr>
            <w:tcW w:w="4903" w:type="dxa"/>
            <w:noWrap w:val="0"/>
            <w:vAlign w:val="center"/>
          </w:tcPr>
          <w:p w14:paraId="248B8E3F">
            <w:pPr>
              <w:widowControl/>
              <w:tabs>
                <w:tab w:val="left" w:pos="6120"/>
              </w:tabs>
              <w:adjustRightInd w:val="0"/>
              <w:snapToGrid w:val="0"/>
              <w:jc w:val="center"/>
              <w:textAlignment w:val="baseline"/>
              <w:rPr>
                <w:rFonts w:ascii="宋体" w:hAnsi="宋体" w:cs="宋体"/>
                <w:kern w:val="0"/>
                <w:u w:val="none" w:color="000000"/>
              </w:rPr>
            </w:pPr>
            <w:r>
              <w:rPr>
                <w:rFonts w:hint="eastAsia" w:ascii="宋体" w:hAnsi="宋体" w:cs="宋体"/>
                <w:kern w:val="0"/>
                <w:u w:val="none" w:color="000000"/>
                <w:lang w:val="en-US" w:eastAsia="zh-CN"/>
              </w:rPr>
              <w:t>液位仪、测漏仪应正常使用；</w:t>
            </w:r>
          </w:p>
        </w:tc>
      </w:tr>
      <w:tr w14:paraId="2C272A3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18" w:type="dxa"/>
            <w:noWrap w:val="0"/>
            <w:vAlign w:val="center"/>
          </w:tcPr>
          <w:p w14:paraId="381C23C9">
            <w:pPr>
              <w:widowControl/>
              <w:tabs>
                <w:tab w:val="left" w:pos="6120"/>
              </w:tabs>
              <w:adjustRightInd w:val="0"/>
              <w:snapToGrid w:val="0"/>
              <w:jc w:val="center"/>
              <w:textAlignment w:val="baseline"/>
              <w:rPr>
                <w:rFonts w:hint="eastAsia" w:ascii="宋体" w:hAnsi="宋体" w:cs="宋体"/>
                <w:bCs/>
                <w:kern w:val="0"/>
                <w:position w:val="2"/>
                <w:u w:val="none" w:color="000000"/>
              </w:rPr>
            </w:pPr>
            <w:r>
              <w:rPr>
                <w:rFonts w:hint="eastAsia" w:ascii="宋体" w:hAnsi="宋体" w:cs="宋体"/>
                <w:bCs/>
                <w:kern w:val="0"/>
                <w:position w:val="2"/>
                <w:u w:val="none" w:color="000000"/>
              </w:rPr>
              <w:t>3</w:t>
            </w:r>
          </w:p>
        </w:tc>
        <w:tc>
          <w:tcPr>
            <w:tcW w:w="3698" w:type="dxa"/>
            <w:noWrap w:val="0"/>
            <w:vAlign w:val="center"/>
          </w:tcPr>
          <w:p w14:paraId="4E868BE3">
            <w:pPr>
              <w:widowControl/>
              <w:tabs>
                <w:tab w:val="left" w:pos="6120"/>
              </w:tabs>
              <w:adjustRightInd w:val="0"/>
              <w:snapToGrid w:val="0"/>
              <w:jc w:val="center"/>
              <w:textAlignment w:val="baseline"/>
              <w:rPr>
                <w:rFonts w:hint="default" w:ascii="宋体" w:hAnsi="宋体" w:eastAsia="宋体" w:cs="宋体"/>
                <w:kern w:val="0"/>
                <w:u w:val="none" w:color="000000"/>
                <w:lang w:val="en-US" w:eastAsia="zh-CN"/>
              </w:rPr>
            </w:pPr>
            <w:r>
              <w:rPr>
                <w:rFonts w:hint="eastAsia" w:ascii="宋体" w:hAnsi="宋体" w:cs="宋体"/>
                <w:kern w:val="0"/>
                <w:u w:val="none" w:color="000000"/>
                <w:lang w:val="en-US" w:eastAsia="zh-CN"/>
              </w:rPr>
              <w:t>加油区未设置灭火器；</w:t>
            </w:r>
          </w:p>
        </w:tc>
        <w:tc>
          <w:tcPr>
            <w:tcW w:w="4903" w:type="dxa"/>
            <w:noWrap w:val="0"/>
            <w:vAlign w:val="center"/>
          </w:tcPr>
          <w:p w14:paraId="716763D9">
            <w:pPr>
              <w:widowControl/>
              <w:tabs>
                <w:tab w:val="left" w:pos="6120"/>
              </w:tabs>
              <w:adjustRightInd w:val="0"/>
              <w:snapToGrid w:val="0"/>
              <w:jc w:val="center"/>
              <w:textAlignment w:val="baseline"/>
              <w:rPr>
                <w:rFonts w:ascii="宋体" w:hAnsi="宋体" w:cs="宋体"/>
                <w:kern w:val="0"/>
                <w:u w:val="none" w:color="000000"/>
              </w:rPr>
            </w:pPr>
            <w:r>
              <w:rPr>
                <w:rFonts w:hint="eastAsia" w:ascii="宋体" w:hAnsi="宋体" w:cs="宋体"/>
                <w:kern w:val="0"/>
                <w:u w:val="none" w:color="000000"/>
                <w:lang w:val="en-US" w:eastAsia="zh-CN"/>
              </w:rPr>
              <w:t>加油区应按要求设置灭火器；</w:t>
            </w:r>
          </w:p>
        </w:tc>
      </w:tr>
      <w:tr w14:paraId="6850E88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18" w:type="dxa"/>
            <w:noWrap w:val="0"/>
            <w:vAlign w:val="center"/>
          </w:tcPr>
          <w:p w14:paraId="3723392E">
            <w:pPr>
              <w:widowControl/>
              <w:tabs>
                <w:tab w:val="left" w:pos="6120"/>
              </w:tabs>
              <w:adjustRightInd w:val="0"/>
              <w:snapToGrid w:val="0"/>
              <w:jc w:val="center"/>
              <w:textAlignment w:val="baseline"/>
              <w:rPr>
                <w:rFonts w:hint="eastAsia" w:ascii="宋体" w:hAnsi="宋体" w:eastAsia="宋体" w:cs="宋体"/>
                <w:bCs/>
                <w:kern w:val="0"/>
                <w:position w:val="2"/>
                <w:u w:val="none" w:color="000000"/>
                <w:lang w:val="en-US" w:eastAsia="zh-CN"/>
              </w:rPr>
            </w:pPr>
            <w:r>
              <w:rPr>
                <w:rFonts w:hint="eastAsia" w:ascii="宋体" w:hAnsi="宋体" w:cs="宋体"/>
                <w:bCs/>
                <w:kern w:val="0"/>
                <w:position w:val="2"/>
                <w:u w:val="none" w:color="000000"/>
                <w:lang w:val="en-US" w:eastAsia="zh-CN"/>
              </w:rPr>
              <w:t>4</w:t>
            </w:r>
          </w:p>
        </w:tc>
        <w:tc>
          <w:tcPr>
            <w:tcW w:w="3698" w:type="dxa"/>
            <w:noWrap w:val="0"/>
            <w:vAlign w:val="center"/>
          </w:tcPr>
          <w:p w14:paraId="2EC750F0">
            <w:pPr>
              <w:widowControl/>
              <w:tabs>
                <w:tab w:val="left" w:pos="6120"/>
              </w:tabs>
              <w:adjustRightInd w:val="0"/>
              <w:snapToGrid w:val="0"/>
              <w:jc w:val="center"/>
              <w:textAlignment w:val="baseline"/>
              <w:rPr>
                <w:rFonts w:hint="default" w:ascii="宋体" w:hAnsi="宋体" w:cs="宋体"/>
                <w:kern w:val="0"/>
                <w:u w:val="none" w:color="000000"/>
                <w:lang w:val="en-US" w:eastAsia="zh-CN"/>
              </w:rPr>
            </w:pPr>
            <w:r>
              <w:rPr>
                <w:rFonts w:hint="eastAsia" w:ascii="宋体" w:hAnsi="宋体" w:cs="宋体"/>
                <w:kern w:val="0"/>
                <w:u w:val="none" w:color="000000"/>
                <w:lang w:val="en-US" w:eastAsia="zh-CN"/>
              </w:rPr>
              <w:t>卸油流程控制器（具有人体静电释放仪）距卸油口不足1.5m。</w:t>
            </w:r>
          </w:p>
        </w:tc>
        <w:tc>
          <w:tcPr>
            <w:tcW w:w="4903" w:type="dxa"/>
            <w:noWrap w:val="0"/>
            <w:vAlign w:val="center"/>
          </w:tcPr>
          <w:p w14:paraId="481D4C57">
            <w:pPr>
              <w:widowControl/>
              <w:tabs>
                <w:tab w:val="left" w:pos="6120"/>
              </w:tabs>
              <w:adjustRightInd w:val="0"/>
              <w:snapToGrid w:val="0"/>
              <w:jc w:val="center"/>
              <w:textAlignment w:val="baseline"/>
              <w:rPr>
                <w:rFonts w:hint="default" w:ascii="宋体" w:hAnsi="宋体" w:cs="宋体"/>
                <w:kern w:val="0"/>
                <w:u w:val="none" w:color="000000"/>
                <w:lang w:val="en-US" w:eastAsia="zh-CN"/>
              </w:rPr>
            </w:pPr>
            <w:r>
              <w:rPr>
                <w:rFonts w:hint="eastAsia" w:ascii="宋体" w:hAnsi="宋体" w:cs="宋体"/>
                <w:kern w:val="0"/>
                <w:u w:val="none" w:color="000000"/>
                <w:lang w:val="en-US" w:eastAsia="zh-CN"/>
              </w:rPr>
              <w:t>人体静电消除器距卸油口不应少于1.5m。</w:t>
            </w:r>
          </w:p>
        </w:tc>
      </w:tr>
    </w:tbl>
    <w:p w14:paraId="0F85E867">
      <w:pPr>
        <w:pStyle w:val="4"/>
        <w:rPr>
          <w:rFonts w:hint="eastAsia" w:ascii="宋体"/>
          <w:color w:val="auto"/>
          <w:kern w:val="0"/>
          <w:sz w:val="28"/>
          <w:szCs w:val="20"/>
        </w:rPr>
        <w:sectPr>
          <w:pgSz w:w="11906" w:h="16838"/>
          <w:pgMar w:top="1417" w:right="1417" w:bottom="1417" w:left="1417"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kern w:val="0"/>
          <w:sz w:val="28"/>
          <w:szCs w:val="20"/>
        </w:rPr>
        <w:t>加油站将上述问题整改合格后，该站的</w:t>
      </w:r>
      <w:r>
        <w:rPr>
          <w:rFonts w:ascii="宋体" w:hAnsi="宋体"/>
          <w:snapToGrid w:val="0"/>
          <w:spacing w:val="0"/>
          <w:kern w:val="0"/>
          <w:sz w:val="28"/>
        </w:rPr>
        <w:t>设备设施、安全管理条件，</w:t>
      </w:r>
      <w:r>
        <w:rPr>
          <w:rFonts w:hint="eastAsia" w:ascii="宋体" w:hAnsi="宋体"/>
          <w:snapToGrid w:val="0"/>
          <w:spacing w:val="0"/>
          <w:kern w:val="0"/>
          <w:sz w:val="28"/>
        </w:rPr>
        <w:t>符合</w:t>
      </w:r>
      <w:r>
        <w:rPr>
          <w:rFonts w:ascii="宋体" w:hAnsi="宋体"/>
          <w:snapToGrid w:val="0"/>
          <w:spacing w:val="0"/>
          <w:kern w:val="0"/>
          <w:sz w:val="28"/>
        </w:rPr>
        <w:t>有关法规、规范和标准的要求，单位</w:t>
      </w:r>
      <w:r>
        <w:rPr>
          <w:rFonts w:hint="eastAsia" w:ascii="宋体" w:hAnsi="宋体"/>
          <w:snapToGrid w:val="0"/>
          <w:spacing w:val="0"/>
          <w:kern w:val="0"/>
          <w:sz w:val="28"/>
        </w:rPr>
        <w:t>在后期经营活动中还要加强各项管理制度的落实</w:t>
      </w:r>
      <w:r>
        <w:rPr>
          <w:rFonts w:hint="eastAsia" w:ascii="宋体"/>
          <w:color w:val="auto"/>
          <w:kern w:val="0"/>
          <w:sz w:val="28"/>
          <w:szCs w:val="20"/>
        </w:rPr>
        <w:t>。</w:t>
      </w:r>
    </w:p>
    <w:p w14:paraId="7FAC2E7F">
      <w:pPr>
        <w:pStyle w:val="4"/>
        <w:spacing w:line="240" w:lineRule="auto"/>
        <w:ind w:left="0" w:leftChars="0" w:firstLine="0" w:firstLineChars="0"/>
        <w:rPr>
          <w:rFonts w:hint="default" w:ascii="宋体"/>
          <w:color w:val="auto"/>
          <w:kern w:val="0"/>
          <w:sz w:val="28"/>
          <w:szCs w:val="20"/>
          <w:lang w:val="en-US" w:eastAsia="zh-CN"/>
        </w:rPr>
      </w:pPr>
      <w:r>
        <w:rPr>
          <w:rFonts w:hint="default" w:ascii="宋体"/>
          <w:color w:val="auto"/>
          <w:kern w:val="0"/>
          <w:sz w:val="28"/>
          <w:szCs w:val="20"/>
          <w:lang w:val="en-US" w:eastAsia="zh-CN"/>
        </w:rPr>
        <w:drawing>
          <wp:inline distT="0" distB="0" distL="114300" distR="114300">
            <wp:extent cx="5472430" cy="8860790"/>
            <wp:effectExtent l="0" t="0" r="13970" b="16510"/>
            <wp:docPr id="4" name="图片 4"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
                    <pic:cNvPicPr>
                      <a:picLocks noChangeAspect="1"/>
                    </pic:cNvPicPr>
                  </pic:nvPicPr>
                  <pic:blipFill>
                    <a:blip r:embed="rId6"/>
                    <a:stretch>
                      <a:fillRect/>
                    </a:stretch>
                  </pic:blipFill>
                  <pic:spPr>
                    <a:xfrm>
                      <a:off x="0" y="0"/>
                      <a:ext cx="5472430" cy="8860790"/>
                    </a:xfrm>
                    <a:prstGeom prst="rect">
                      <a:avLst/>
                    </a:prstGeom>
                  </pic:spPr>
                </pic:pic>
              </a:graphicData>
            </a:graphic>
          </wp:inline>
        </w:drawing>
      </w:r>
      <w:r>
        <w:rPr>
          <w:rFonts w:hint="default" w:ascii="宋体"/>
          <w:color w:val="auto"/>
          <w:kern w:val="0"/>
          <w:sz w:val="28"/>
          <w:szCs w:val="20"/>
          <w:lang w:val="en-US" w:eastAsia="zh-CN"/>
        </w:rPr>
        <w:drawing>
          <wp:inline distT="0" distB="0" distL="114300" distR="114300">
            <wp:extent cx="5511165" cy="8871585"/>
            <wp:effectExtent l="0" t="0" r="13335" b="5715"/>
            <wp:docPr id="3" name="图片 3"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
                    <pic:cNvPicPr>
                      <a:picLocks noChangeAspect="1"/>
                    </pic:cNvPicPr>
                  </pic:nvPicPr>
                  <pic:blipFill>
                    <a:blip r:embed="rId7"/>
                    <a:stretch>
                      <a:fillRect/>
                    </a:stretch>
                  </pic:blipFill>
                  <pic:spPr>
                    <a:xfrm>
                      <a:off x="0" y="0"/>
                      <a:ext cx="5511165" cy="8871585"/>
                    </a:xfrm>
                    <a:prstGeom prst="rect">
                      <a:avLst/>
                    </a:prstGeom>
                  </pic:spPr>
                </pic:pic>
              </a:graphicData>
            </a:graphic>
          </wp:inline>
        </w:drawing>
      </w:r>
      <w:bookmarkStart w:id="5" w:name="_GoBack"/>
      <w:bookmarkEnd w:id="5"/>
    </w:p>
    <w:sectPr>
      <w:pgSz w:w="11906" w:h="16838"/>
      <w:pgMar w:top="1417" w:right="1417" w:bottom="1417" w:left="141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yN2NlOGVhYmMyMmY2ZjU2NWRlMjUwNzMzOGE0MTYifQ=="/>
  </w:docVars>
  <w:rsids>
    <w:rsidRoot w:val="35CC29B8"/>
    <w:rsid w:val="03B21DD7"/>
    <w:rsid w:val="03CC63D7"/>
    <w:rsid w:val="09D5345C"/>
    <w:rsid w:val="0A27015B"/>
    <w:rsid w:val="0BD51C61"/>
    <w:rsid w:val="0EDC1223"/>
    <w:rsid w:val="13D12EE6"/>
    <w:rsid w:val="153C4810"/>
    <w:rsid w:val="16BC1C2B"/>
    <w:rsid w:val="1E1E483E"/>
    <w:rsid w:val="22CB7136"/>
    <w:rsid w:val="284F788D"/>
    <w:rsid w:val="2A9D36CA"/>
    <w:rsid w:val="2EB02BD7"/>
    <w:rsid w:val="2EC41433"/>
    <w:rsid w:val="335F1F61"/>
    <w:rsid w:val="355F439E"/>
    <w:rsid w:val="35CC29B8"/>
    <w:rsid w:val="3B343FFC"/>
    <w:rsid w:val="3BB85D78"/>
    <w:rsid w:val="420C1409"/>
    <w:rsid w:val="46BE3C6F"/>
    <w:rsid w:val="4706325F"/>
    <w:rsid w:val="48FE4AE5"/>
    <w:rsid w:val="4B7D0EF4"/>
    <w:rsid w:val="537F016A"/>
    <w:rsid w:val="54F4335B"/>
    <w:rsid w:val="563D798B"/>
    <w:rsid w:val="567C6788"/>
    <w:rsid w:val="579A241E"/>
    <w:rsid w:val="5946263C"/>
    <w:rsid w:val="5A893A0E"/>
    <w:rsid w:val="5AB85F0C"/>
    <w:rsid w:val="5E953707"/>
    <w:rsid w:val="68772688"/>
    <w:rsid w:val="6AD40467"/>
    <w:rsid w:val="6BF95CAB"/>
    <w:rsid w:val="6D0669CA"/>
    <w:rsid w:val="717A11AE"/>
    <w:rsid w:val="72FD2CFB"/>
    <w:rsid w:val="73C95CFD"/>
    <w:rsid w:val="74004819"/>
    <w:rsid w:val="74F77EEF"/>
    <w:rsid w:val="7772596D"/>
    <w:rsid w:val="7AB02F22"/>
    <w:rsid w:val="7EA90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pacing w:val="0"/>
      <w:sz w:val="32"/>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99"/>
    <w:pPr>
      <w:ind w:firstLine="420"/>
    </w:pPr>
  </w:style>
  <w:style w:type="paragraph" w:styleId="4">
    <w:name w:val="Body Text"/>
    <w:basedOn w:val="1"/>
    <w:qFormat/>
    <w:uiPriority w:val="99"/>
    <w:pPr>
      <w:widowControl/>
      <w:spacing w:line="520" w:lineRule="exact"/>
      <w:ind w:firstLine="200" w:firstLineChars="200"/>
      <w:textAlignment w:val="baseline"/>
    </w:pPr>
    <w:rPr>
      <w:rFonts w:ascii="宋体" w:hAnsi="宋体"/>
      <w:color w:val="000000"/>
      <w:spacing w:val="10"/>
      <w:kern w:val="0"/>
      <w:sz w:val="24"/>
      <w:szCs w:val="24"/>
      <w:u w:color="000000"/>
    </w:rPr>
  </w:style>
  <w:style w:type="paragraph" w:styleId="5">
    <w:name w:val="Body Text Indent"/>
    <w:basedOn w:val="1"/>
    <w:next w:val="6"/>
    <w:qFormat/>
    <w:uiPriority w:val="0"/>
    <w:pPr>
      <w:spacing w:after="120"/>
      <w:ind w:left="420" w:leftChars="200"/>
    </w:pPr>
  </w:style>
  <w:style w:type="paragraph" w:customStyle="1" w:styleId="6">
    <w:name w:val="样式 正文文本缩进 + 行距: 1.5 倍行距"/>
    <w:basedOn w:val="7"/>
    <w:next w:val="8"/>
    <w:qFormat/>
    <w:uiPriority w:val="0"/>
    <w:pPr>
      <w:spacing w:after="120" w:line="360" w:lineRule="auto"/>
      <w:ind w:left="90" w:leftChars="32" w:firstLine="560"/>
    </w:pPr>
    <w:rPr>
      <w:rFonts w:cs="宋体"/>
    </w:rPr>
  </w:style>
  <w:style w:type="paragraph" w:customStyle="1" w:styleId="7">
    <w:name w:val="Body Text Indent"/>
    <w:basedOn w:val="1"/>
    <w:next w:val="6"/>
    <w:qFormat/>
    <w:uiPriority w:val="0"/>
    <w:pPr>
      <w:spacing w:after="120" w:afterLines="0"/>
      <w:ind w:left="420" w:leftChars="200"/>
    </w:pPr>
    <w:rPr>
      <w:rFonts w:ascii="Times New Roman" w:hAnsi="Times New Roman" w:eastAsia="宋体"/>
      <w:sz w:val="24"/>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Plain Text"/>
    <w:basedOn w:val="1"/>
    <w:unhideWhenUsed/>
    <w:qFormat/>
    <w:uiPriority w:val="99"/>
    <w:rPr>
      <w:rFonts w:ascii="宋体" w:hAnsi="Courier New"/>
      <w:kern w:val="0"/>
      <w:sz w:val="20"/>
      <w:szCs w:val="20"/>
    </w:rPr>
  </w:style>
  <w:style w:type="paragraph" w:styleId="10">
    <w:name w:val="Body Text First Indent"/>
    <w:basedOn w:val="4"/>
    <w:next w:val="1"/>
    <w:qFormat/>
    <w:uiPriority w:val="0"/>
    <w:pPr>
      <w:ind w:firstLine="420" w:firstLineChars="100"/>
    </w:pPr>
    <w:rPr>
      <w:b/>
      <w:sz w:val="24"/>
      <w:u w:val="single"/>
    </w:rPr>
  </w:style>
  <w:style w:type="paragraph" w:styleId="11">
    <w:name w:val="Body Text First Indent 2"/>
    <w:basedOn w:val="5"/>
    <w:next w:val="1"/>
    <w:qFormat/>
    <w:uiPriority w:val="0"/>
    <w:pPr>
      <w:tabs>
        <w:tab w:val="left" w:pos="6120"/>
      </w:tabs>
      <w:spacing w:line="520" w:lineRule="exact"/>
      <w:ind w:left="0" w:leftChars="0"/>
    </w:pPr>
    <w:rPr>
      <w:rFonts w:ascii="黑体" w:hAnsi="黑体" w:eastAsia="黑体" w:cs="宋体"/>
      <w:sz w:val="28"/>
      <w:szCs w:val="24"/>
    </w:rPr>
  </w:style>
  <w:style w:type="paragraph" w:customStyle="1" w:styleId="14">
    <w:name w:val="111"/>
    <w:basedOn w:val="15"/>
    <w:qFormat/>
    <w:uiPriority w:val="0"/>
    <w:pPr>
      <w:widowControl/>
      <w:spacing w:beforeAutospacing="0" w:afterAutospacing="0"/>
      <w:jc w:val="left"/>
    </w:pPr>
    <w:rPr>
      <w:rFonts w:ascii="宋体" w:hAnsi="宋体" w:eastAsia="宋体" w:cs="宋体"/>
      <w:kern w:val="0"/>
      <w:sz w:val="24"/>
      <w:szCs w:val="24"/>
    </w:rPr>
  </w:style>
  <w:style w:type="paragraph" w:customStyle="1" w:styleId="15">
    <w:name w:val="题目"/>
    <w:basedOn w:val="1"/>
    <w:qFormat/>
    <w:uiPriority w:val="0"/>
    <w:pPr>
      <w:jc w:val="center"/>
      <w:outlineLvl w:val="0"/>
    </w:pPr>
    <w:rPr>
      <w:rFonts w:ascii="黑体" w:hAnsi="黑体" w:eastAsia="黑体"/>
      <w:sz w:val="32"/>
      <w:szCs w:val="32"/>
    </w:rPr>
  </w:style>
  <w:style w:type="paragraph" w:customStyle="1" w:styleId="16">
    <w:name w:val="Table Text"/>
    <w:basedOn w:val="1"/>
    <w:semiHidden/>
    <w:qFormat/>
    <w:uiPriority w:val="0"/>
    <w:rPr>
      <w:rFonts w:ascii="宋体" w:hAnsi="宋体" w:eastAsia="宋体" w:cs="宋体"/>
      <w:sz w:val="20"/>
      <w:szCs w:val="20"/>
      <w:lang w:val="en-US" w:eastAsia="en-US" w:bidi="ar-SA"/>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6评价正文"/>
    <w:qFormat/>
    <w:uiPriority w:val="0"/>
    <w:pPr>
      <w:spacing w:line="520" w:lineRule="exact"/>
      <w:ind w:firstLine="200" w:firstLineChars="200"/>
      <w:jc w:val="both"/>
    </w:pPr>
    <w:rPr>
      <w:rFonts w:ascii="Times New Roman" w:hAnsi="Times New Roman" w:eastAsia="宋体" w:cs="Times New Roman"/>
      <w:sz w:val="28"/>
      <w:lang w:val="en-US" w:eastAsia="zh-CN" w:bidi="ar-SA"/>
    </w:rPr>
  </w:style>
  <w:style w:type="paragraph" w:customStyle="1" w:styleId="19">
    <w:name w:val="1评价标题"/>
    <w:qFormat/>
    <w:uiPriority w:val="0"/>
    <w:pPr>
      <w:pageBreakBefore/>
      <w:spacing w:before="100" w:beforeLines="100" w:after="100" w:afterLines="100" w:line="520" w:lineRule="exact"/>
      <w:jc w:val="center"/>
      <w:outlineLvl w:val="0"/>
    </w:pPr>
    <w:rPr>
      <w:rFonts w:ascii="Times New Roman" w:hAnsi="Times New Roman" w:eastAsia="黑体" w:cs="Times New Roman"/>
      <w:kern w:val="2"/>
      <w:sz w:val="32"/>
      <w:szCs w:val="21"/>
      <w:lang w:val="en-US" w:eastAsia="zh-CN" w:bidi="ar-SA"/>
    </w:rPr>
  </w:style>
  <w:style w:type="paragraph" w:customStyle="1" w:styleId="20">
    <w:name w:val="5标题评价表格"/>
    <w:qFormat/>
    <w:uiPriority w:val="0"/>
    <w:pPr>
      <w:spacing w:line="520" w:lineRule="exact"/>
      <w:jc w:val="center"/>
      <w:outlineLvl w:val="4"/>
    </w:pPr>
    <w:rPr>
      <w:rFonts w:ascii="Times New Roman" w:hAnsi="Times New Roman" w:eastAsia="黑体" w:cs="Times New Roman"/>
      <w:kern w:val="2"/>
      <w:sz w:val="24"/>
      <w:szCs w:val="28"/>
      <w:u w:color="000000"/>
      <w:lang w:val="en-US" w:eastAsia="zh-CN" w:bidi="ar-SA"/>
    </w:rPr>
  </w:style>
  <w:style w:type="paragraph" w:customStyle="1" w:styleId="21">
    <w:name w:val="5内容评价表格"/>
    <w:qFormat/>
    <w:uiPriority w:val="0"/>
    <w:pPr>
      <w:spacing w:line="300" w:lineRule="exact"/>
      <w:jc w:val="center"/>
    </w:pPr>
    <w:rPr>
      <w:rFonts w:ascii="Times New Roman" w:hAnsi="Times New Roman" w:eastAsia="宋体" w:cs="Times New Roman"/>
      <w:kern w:val="2"/>
      <w:sz w:val="21"/>
      <w:szCs w:val="21"/>
      <w:u w:color="000000"/>
      <w:lang w:val="en-US" w:eastAsia="zh-CN" w:bidi="ar-SA"/>
    </w:rPr>
  </w:style>
  <w:style w:type="paragraph" w:customStyle="1" w:styleId="22">
    <w:name w:val="7评价备注"/>
    <w:qFormat/>
    <w:uiPriority w:val="0"/>
    <w:pPr>
      <w:spacing w:line="400" w:lineRule="exact"/>
      <w:ind w:firstLine="200" w:firstLineChars="200"/>
    </w:pPr>
    <w:rPr>
      <w:rFonts w:ascii="Times New Roman" w:hAnsi="Times New Roman" w:eastAsia="黑体" w:cs="Times New Roman"/>
      <w:spacing w:val="4"/>
      <w:kern w:val="2"/>
      <w:sz w:val="21"/>
      <w:szCs w:val="24"/>
      <w:lang w:val="en-US" w:eastAsia="zh-CN" w:bidi="ar-SA"/>
    </w:rPr>
  </w:style>
  <w:style w:type="paragraph" w:customStyle="1" w:styleId="23">
    <w:name w:val="3评价标题"/>
    <w:qFormat/>
    <w:uiPriority w:val="0"/>
    <w:pPr>
      <w:spacing w:line="520" w:lineRule="exact"/>
      <w:ind w:firstLine="200" w:firstLineChars="200"/>
      <w:outlineLvl w:val="2"/>
    </w:pPr>
    <w:rPr>
      <w:rFonts w:ascii="Times New Roman" w:hAnsi="Times New Roman" w:eastAsia="黑体" w:cs="Times New Roman"/>
      <w:sz w:val="28"/>
      <w:u w:color="000000"/>
      <w:lang w:val="en-US" w:eastAsia="zh-CN" w:bidi="ar-SA"/>
    </w:rPr>
  </w:style>
  <w:style w:type="paragraph" w:customStyle="1" w:styleId="24">
    <w:name w:val="表内文字"/>
    <w:basedOn w:val="9"/>
    <w:qFormat/>
    <w:uiPriority w:val="0"/>
    <w:pPr>
      <w:spacing w:line="320" w:lineRule="exact"/>
      <w:jc w:val="center"/>
    </w:pPr>
    <w:rPr>
      <w:rFonts w:ascii="Times New Roman" w:hAnsi="Times New Roman"/>
      <w:kern w:val="2"/>
      <w:sz w:val="21"/>
      <w:szCs w:val="21"/>
      <w:u w:color="000000"/>
    </w:rPr>
  </w:style>
  <w:style w:type="paragraph" w:customStyle="1" w:styleId="25">
    <w:name w:val="6表格标题"/>
    <w:basedOn w:val="26"/>
    <w:qFormat/>
    <w:uiPriority w:val="0"/>
    <w:pPr>
      <w:widowControl/>
      <w:spacing w:line="520" w:lineRule="exact"/>
      <w:jc w:val="center"/>
      <w:outlineLvl w:val="4"/>
    </w:pPr>
    <w:rPr>
      <w:color w:val="FF0000"/>
    </w:rPr>
  </w:style>
  <w:style w:type="paragraph" w:customStyle="1" w:styleId="26">
    <w:name w:val="评价表格标题"/>
    <w:qFormat/>
    <w:uiPriority w:val="99"/>
    <w:pPr>
      <w:spacing w:line="400" w:lineRule="exact"/>
      <w:jc w:val="center"/>
    </w:pPr>
    <w:rPr>
      <w:rFonts w:ascii="Times New Roman" w:hAnsi="Times New Roman" w:eastAsia="黑体" w:cs="Times New Roman"/>
      <w:color w:val="000000"/>
      <w:sz w:val="24"/>
      <w:szCs w:val="24"/>
      <w:lang w:val="en-US" w:eastAsia="zh-CN" w:bidi="ar-SA"/>
    </w:rPr>
  </w:style>
  <w:style w:type="paragraph" w:customStyle="1" w:styleId="27">
    <w:name w:val="正文1"/>
    <w:basedOn w:val="1"/>
    <w:uiPriority w:val="0"/>
    <w:pPr>
      <w:snapToGrid w:val="0"/>
      <w:spacing w:line="360" w:lineRule="exact"/>
      <w:jc w:val="center"/>
    </w:pPr>
    <w:rPr>
      <w:snapToGrid w:val="0"/>
      <w:kern w:val="21"/>
      <w:szCs w:val="20"/>
    </w:rPr>
  </w:style>
  <w:style w:type="paragraph" w:customStyle="1" w:styleId="28">
    <w:name w:val="表"/>
    <w:basedOn w:val="1"/>
    <w:uiPriority w:val="0"/>
    <w:pPr>
      <w:spacing w:line="300" w:lineRule="auto"/>
      <w:jc w:val="center"/>
    </w:pPr>
    <w:rPr>
      <w:spacing w:val="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2920</Words>
  <Characters>3209</Characters>
  <Lines>0</Lines>
  <Paragraphs>0</Paragraphs>
  <TotalTime>2</TotalTime>
  <ScaleCrop>false</ScaleCrop>
  <LinksUpToDate>false</LinksUpToDate>
  <CharactersWithSpaces>3235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2023-09-27T02:48:00Z</dcterms:created>
  <dc:creator>天舞</dc:creator>
  <cp:lastModifiedBy>Administrator</cp:lastModifiedBy>
  <dcterms:modified xsi:type="dcterms:W3CDTF">2025-03-13T03:45:33Z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158E41C4130D45F7BB2A42425FB8946B_11</vt:lpwstr>
  </property>
  <property fmtid="{D5CDD505-2E9C-101B-9397-08002B2CF9AE}" pid="4" name="KSOTemplateDocerSaveRecord">
    <vt:lpwstr>eyJoZGlkIjoiZDAyN2NlOGVhYmMyMmY2ZjU2NWRlMjUwNzMzOGE0MTYiLCJ1c2VySWQiOiIxNTA4ODg5MTM0In0=</vt:lpwstr>
  </property>
</Properties>
</file>