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肥城市正达石油制品有限公司经营危险化学品现状评价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4CB9BC0C">
            <w:pPr>
              <w:pStyle w:val="23"/>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该加油站现有埋地双层储油罐4只，</w:t>
            </w:r>
            <w:r>
              <w:rPr>
                <w:color w:val="auto"/>
                <w:highlight w:val="none"/>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w:t>
            </w:r>
            <w:r>
              <w:rPr>
                <w:rFonts w:hint="eastAsia"/>
                <w:color w:val="auto"/>
                <w:highlight w:val="none"/>
                <w:lang w:eastAsia="zh-CN"/>
              </w:rPr>
              <w:t>汽油</w:t>
            </w:r>
            <w:r>
              <w:rPr>
                <w:rFonts w:hint="eastAsia"/>
                <w:color w:val="auto"/>
                <w:highlight w:val="none"/>
              </w:rPr>
              <w:t>罐、</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95#</w:t>
            </w:r>
            <w:r>
              <w:rPr>
                <w:rFonts w:hint="eastAsia"/>
                <w:color w:val="auto"/>
                <w:highlight w:val="none"/>
                <w:lang w:eastAsia="zh-CN"/>
              </w:rPr>
              <w:t>汽油</w:t>
            </w:r>
            <w:r>
              <w:rPr>
                <w:rFonts w:hint="eastAsia"/>
                <w:color w:val="auto"/>
                <w:highlight w:val="none"/>
                <w:lang w:val="en-US" w:eastAsia="zh-CN"/>
              </w:rPr>
              <w:t>罐</w:t>
            </w:r>
            <w:r>
              <w:rPr>
                <w:rFonts w:hint="eastAsia"/>
                <w:color w:val="auto"/>
                <w:highlight w:val="none"/>
                <w:lang w:eastAsia="zh-CN"/>
              </w:rPr>
              <w:t>、</w:t>
            </w:r>
            <w:r>
              <w:rPr>
                <w:rFonts w:hint="eastAsia"/>
                <w:color w:val="auto"/>
                <w:highlight w:val="none"/>
                <w:lang w:val="en-US" w:eastAsia="zh-CN"/>
              </w:rPr>
              <w:t>2</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color w:val="auto"/>
                <w:highlight w:val="none"/>
                <w:lang w:eastAsia="zh-CN"/>
              </w:rPr>
              <w:t>，</w:t>
            </w:r>
            <w:r>
              <w:rPr>
                <w:rFonts w:hint="eastAsia"/>
                <w:color w:val="auto"/>
                <w:highlight w:val="none"/>
                <w:lang w:val="en-US" w:eastAsia="zh-CN"/>
              </w:rPr>
              <w:t>1台油气回收处理装置。</w:t>
            </w:r>
            <w:r>
              <w:rPr>
                <w:color w:val="auto"/>
                <w:highlight w:val="none"/>
              </w:rPr>
              <w:t>设置罩棚一处，</w:t>
            </w:r>
            <w:r>
              <w:rPr>
                <w:rFonts w:hint="eastAsia"/>
                <w:color w:val="auto"/>
                <w:highlight w:val="none"/>
              </w:rPr>
              <w:t>罩棚下设置</w:t>
            </w:r>
            <w:r>
              <w:rPr>
                <w:rFonts w:hint="eastAsia"/>
                <w:color w:val="auto"/>
                <w:highlight w:val="none"/>
                <w:lang w:val="en-US" w:eastAsia="zh-CN"/>
              </w:rPr>
              <w:t>3</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加油机（1台92#汽油、1台柴油、1台92#汽油/95#汽油</w:t>
            </w:r>
            <w:r>
              <w:rPr>
                <w:rFonts w:hint="eastAsia" w:ascii="宋体" w:hAnsi="宋体" w:cs="宋体"/>
                <w:bCs/>
                <w:color w:val="auto"/>
                <w:highlight w:val="none"/>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kern w:val="2"/>
                <w:sz w:val="24"/>
                <w:szCs w:val="24"/>
                <w:lang w:val="en-US" w:eastAsia="zh-CN" w:bidi="ar-SA"/>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widowControl/>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sz w:val="24"/>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4"/>
              </w:rPr>
              <w:t>刘振忠</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205.2.10</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2025.2.18</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2025.2.19</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205.2.22</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安全评价报告提交时间：2025.3.22</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730B0B5F">
      <w:pPr>
        <w:pStyle w:val="17"/>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0" w:name="_Toc8295"/>
      <w:bookmarkStart w:id="1" w:name="_Toc102633895"/>
      <w:bookmarkStart w:id="2" w:name="_Toc102634226"/>
      <w:bookmarkStart w:id="3" w:name="_Toc15033742"/>
      <w:bookmarkStart w:id="4" w:name="_Toc102634395"/>
      <w:bookmarkStart w:id="5" w:name="_Toc102633969"/>
      <w:r>
        <w:rPr>
          <w:rFonts w:hint="eastAsia"/>
          <w:color w:val="auto"/>
          <w:highlight w:val="none"/>
        </w:rPr>
        <w:t>第二章 加油站概况</w:t>
      </w:r>
      <w:bookmarkEnd w:id="0"/>
      <w:bookmarkEnd w:id="1"/>
      <w:bookmarkEnd w:id="2"/>
      <w:bookmarkEnd w:id="3"/>
      <w:bookmarkEnd w:id="4"/>
      <w:bookmarkEnd w:id="5"/>
    </w:p>
    <w:p w14:paraId="0FBD2971">
      <w:pPr>
        <w:pStyle w:val="4"/>
        <w:spacing w:before="312" w:beforeLines="100" w:after="312" w:afterLines="100" w:line="360" w:lineRule="auto"/>
        <w:ind w:firstLine="0"/>
        <w:rPr>
          <w:rFonts w:hint="eastAsia"/>
          <w:color w:val="auto"/>
          <w:highlight w:val="none"/>
        </w:rPr>
      </w:pPr>
      <w:bookmarkStart w:id="6" w:name="_Toc102634396"/>
      <w:bookmarkStart w:id="7" w:name="_Toc102634227"/>
      <w:bookmarkStart w:id="8" w:name="_Toc272364524"/>
      <w:bookmarkStart w:id="9" w:name="_Toc102633970"/>
      <w:bookmarkStart w:id="10" w:name="_Toc15033743"/>
      <w:bookmarkStart w:id="11" w:name="_Toc102633896"/>
      <w:bookmarkStart w:id="12" w:name="_Toc26504"/>
      <w:bookmarkStart w:id="13" w:name="_Toc208733856"/>
      <w:bookmarkStart w:id="14" w:name="_Toc13779"/>
      <w:bookmarkStart w:id="15" w:name="_Toc30066"/>
      <w:r>
        <w:rPr>
          <w:rFonts w:hint="eastAsia"/>
          <w:color w:val="auto"/>
          <w:highlight w:val="none"/>
        </w:rPr>
        <w:t>第一节 加油站基本情况</w:t>
      </w:r>
      <w:bookmarkEnd w:id="6"/>
      <w:bookmarkEnd w:id="7"/>
      <w:bookmarkEnd w:id="8"/>
      <w:bookmarkEnd w:id="9"/>
      <w:bookmarkEnd w:id="10"/>
      <w:bookmarkEnd w:id="11"/>
      <w:bookmarkEnd w:id="12"/>
      <w:bookmarkEnd w:id="13"/>
      <w:bookmarkEnd w:id="14"/>
      <w:bookmarkEnd w:id="15"/>
    </w:p>
    <w:p w14:paraId="01A48F4B">
      <w:pPr>
        <w:adjustRightInd w:val="0"/>
        <w:snapToGrid w:val="0"/>
        <w:spacing w:line="360" w:lineRule="auto"/>
        <w:ind w:firstLine="560" w:firstLineChars="200"/>
        <w:rPr>
          <w:rFonts w:ascii="宋体"/>
          <w:color w:val="auto"/>
          <w:sz w:val="28"/>
          <w:szCs w:val="28"/>
          <w:highlight w:val="none"/>
        </w:rPr>
      </w:pPr>
      <w:r>
        <w:rPr>
          <w:rFonts w:hint="eastAsia" w:ascii="宋体" w:hAnsi="宋体"/>
          <w:color w:val="auto"/>
          <w:sz w:val="28"/>
          <w:szCs w:val="28"/>
          <w:highlight w:val="none"/>
          <w:lang w:eastAsia="zh-CN"/>
        </w:rPr>
        <w:t>肥城市正达石油制品有限公司</w:t>
      </w:r>
      <w:r>
        <w:rPr>
          <w:rFonts w:hint="eastAsia" w:ascii="宋体" w:hAnsi="宋体"/>
          <w:color w:val="auto"/>
          <w:sz w:val="28"/>
          <w:szCs w:val="28"/>
          <w:highlight w:val="none"/>
        </w:rPr>
        <w:t>位于</w:t>
      </w:r>
      <w:r>
        <w:rPr>
          <w:rFonts w:hint="eastAsia" w:ascii="宋体" w:hAnsi="宋体"/>
          <w:color w:val="auto"/>
          <w:sz w:val="28"/>
          <w:highlight w:val="none"/>
          <w:lang w:eastAsia="zh-CN"/>
        </w:rPr>
        <w:t>山东省泰安市肥城市老城街道 办事处北一公里济兖路西侧</w:t>
      </w:r>
      <w:r>
        <w:rPr>
          <w:rFonts w:hint="eastAsia" w:ascii="宋体" w:hAnsi="宋体"/>
          <w:color w:val="auto"/>
          <w:sz w:val="28"/>
          <w:szCs w:val="28"/>
          <w:highlight w:val="none"/>
        </w:rPr>
        <w:t>，</w:t>
      </w:r>
      <w:r>
        <w:rPr>
          <w:rFonts w:hint="eastAsia" w:ascii="宋体" w:hAnsi="宋体"/>
          <w:color w:val="auto"/>
          <w:sz w:val="28"/>
          <w:szCs w:val="28"/>
          <w:highlight w:val="none"/>
          <w:lang w:eastAsia="zh-CN"/>
        </w:rPr>
        <w:t>加油站东侧</w:t>
      </w:r>
      <w:r>
        <w:rPr>
          <w:rFonts w:hint="eastAsia" w:ascii="宋体" w:hAnsi="宋体"/>
          <w:color w:val="auto"/>
          <w:sz w:val="28"/>
          <w:szCs w:val="28"/>
          <w:highlight w:val="none"/>
          <w:lang w:val="en-US" w:eastAsia="zh-CN"/>
        </w:rPr>
        <w:t>是济兖路、架空通信线，西侧是厂房（丙类），南侧是民房、架空高压线，</w:t>
      </w:r>
      <w:r>
        <w:rPr>
          <w:rFonts w:hint="eastAsia" w:ascii="宋体" w:hAnsi="宋体"/>
          <w:color w:val="auto"/>
          <w:sz w:val="28"/>
          <w:szCs w:val="28"/>
          <w:highlight w:val="none"/>
          <w:lang w:eastAsia="zh-CN"/>
        </w:rPr>
        <w:t>北侧是洗车间</w:t>
      </w:r>
      <w:r>
        <w:rPr>
          <w:rFonts w:hint="eastAsia" w:ascii="宋体" w:hAnsi="宋体"/>
          <w:color w:val="auto"/>
          <w:sz w:val="28"/>
          <w:szCs w:val="28"/>
          <w:highlight w:val="none"/>
          <w:lang w:val="en-US" w:eastAsia="zh-CN"/>
        </w:rPr>
        <w:t>、架空电力线。</w:t>
      </w:r>
      <w:r>
        <w:rPr>
          <w:rFonts w:hint="eastAsia" w:ascii="宋体" w:hAnsi="宋体"/>
          <w:color w:val="auto"/>
          <w:sz w:val="28"/>
          <w:highlight w:val="none"/>
        </w:rPr>
        <w:t>该站经营许可范围为</w:t>
      </w:r>
      <w:r>
        <w:rPr>
          <w:rFonts w:hint="eastAsia" w:asciiTheme="minorEastAsia" w:hAnsiTheme="minorEastAsia" w:eastAsiaTheme="minorEastAsia" w:cstheme="minorEastAsia"/>
          <w:color w:val="auto"/>
          <w:sz w:val="28"/>
          <w:szCs w:val="28"/>
          <w:highlight w:val="none"/>
          <w:lang w:eastAsia="zh-CN"/>
        </w:rPr>
        <w:t>汽油、乙醇汽油</w:t>
      </w:r>
      <w:r>
        <w:rPr>
          <w:rFonts w:hint="eastAsia" w:ascii="宋体" w:hAnsi="宋体"/>
          <w:color w:val="auto"/>
          <w:sz w:val="28"/>
          <w:highlight w:val="none"/>
        </w:rPr>
        <w:t>、柴油，现其主要经营储存</w:t>
      </w:r>
      <w:r>
        <w:rPr>
          <w:rFonts w:hint="eastAsia" w:ascii="宋体" w:hAnsi="宋体"/>
          <w:color w:val="auto"/>
          <w:sz w:val="28"/>
          <w:highlight w:val="none"/>
          <w:lang w:eastAsia="zh-CN"/>
        </w:rPr>
        <w:t>汽油、乙醇汽油（</w:t>
      </w:r>
      <w:r>
        <w:rPr>
          <w:rFonts w:hint="eastAsia" w:ascii="宋体" w:hAnsi="宋体"/>
          <w:color w:val="auto"/>
          <w:sz w:val="28"/>
          <w:highlight w:val="none"/>
          <w:lang w:val="en-US" w:eastAsia="zh-CN"/>
        </w:rPr>
        <w:t>暂未储存</w:t>
      </w:r>
      <w:r>
        <w:rPr>
          <w:rFonts w:hint="eastAsia" w:ascii="宋体" w:hAnsi="宋体"/>
          <w:color w:val="auto"/>
          <w:sz w:val="28"/>
          <w:highlight w:val="none"/>
          <w:lang w:eastAsia="zh-CN"/>
        </w:rPr>
        <w:t>）</w:t>
      </w:r>
      <w:r>
        <w:rPr>
          <w:rFonts w:hint="eastAsia" w:ascii="宋体" w:hAnsi="宋体"/>
          <w:color w:val="auto"/>
          <w:sz w:val="28"/>
          <w:highlight w:val="none"/>
        </w:rPr>
        <w:t>、0#柴油（换季销售-</w:t>
      </w:r>
      <w:r>
        <w:rPr>
          <w:rFonts w:ascii="宋体" w:hAnsi="宋体"/>
          <w:color w:val="auto"/>
          <w:sz w:val="28"/>
          <w:highlight w:val="none"/>
        </w:rPr>
        <w:t>10#</w:t>
      </w:r>
      <w:r>
        <w:rPr>
          <w:rFonts w:hint="eastAsia" w:ascii="宋体" w:hAnsi="宋体"/>
          <w:color w:val="auto"/>
          <w:sz w:val="28"/>
          <w:highlight w:val="none"/>
        </w:rPr>
        <w:t>柴油）</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w:t>
      </w:r>
      <w:r>
        <w:rPr>
          <w:rFonts w:hint="eastAsia" w:ascii="宋体" w:hAnsi="宋体"/>
          <w:color w:val="auto"/>
          <w:sz w:val="28"/>
          <w:highlight w:val="none"/>
          <w:lang w:val="en-US" w:eastAsia="zh-CN"/>
        </w:rPr>
        <w:t>上次</w:t>
      </w:r>
      <w:r>
        <w:rPr>
          <w:rFonts w:hint="eastAsia" w:ascii="宋体" w:hAnsi="宋体"/>
          <w:color w:val="auto"/>
          <w:sz w:val="28"/>
          <w:highlight w:val="none"/>
        </w:rPr>
        <w:t>报告相比，</w:t>
      </w:r>
      <w:r>
        <w:rPr>
          <w:rFonts w:hint="eastAsia" w:ascii="宋体" w:hAnsi="宋体"/>
          <w:color w:val="auto"/>
          <w:sz w:val="28"/>
          <w:highlight w:val="none"/>
          <w:lang w:val="en-US" w:eastAsia="zh-CN"/>
        </w:rPr>
        <w:t>闲置仓库现在变更为洗车间，其余</w:t>
      </w:r>
      <w:r>
        <w:rPr>
          <w:rFonts w:hint="eastAsia" w:ascii="宋体" w:hAnsi="宋体"/>
          <w:color w:val="auto"/>
          <w:sz w:val="28"/>
          <w:highlight w:val="none"/>
        </w:rPr>
        <w:t>周边环境、站内设备</w:t>
      </w:r>
      <w:r>
        <w:rPr>
          <w:rFonts w:hint="eastAsia" w:ascii="宋体" w:hAnsi="宋体"/>
          <w:color w:val="auto"/>
          <w:sz w:val="28"/>
          <w:szCs w:val="28"/>
          <w:highlight w:val="none"/>
        </w:rPr>
        <w:t>设施、主要建构筑物未发生变化。</w:t>
      </w:r>
    </w:p>
    <w:p w14:paraId="31DC939E">
      <w:pPr>
        <w:pStyle w:val="16"/>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 w:val="28"/>
          <w:szCs w:val="28"/>
          <w:highlight w:val="none"/>
        </w:rPr>
        <w:t>该加油站主要建有站房、罩棚、油罐区、</w:t>
      </w:r>
      <w:r>
        <w:rPr>
          <w:rFonts w:hint="eastAsia" w:ascii="宋体" w:hAnsi="宋体"/>
          <w:color w:val="auto"/>
          <w:szCs w:val="28"/>
          <w:highlight w:val="none"/>
        </w:rPr>
        <w:t>加油区等。加油区在</w:t>
      </w:r>
      <w:r>
        <w:rPr>
          <w:rFonts w:hint="eastAsia" w:ascii="宋体" w:hAnsi="宋体"/>
          <w:color w:val="auto"/>
          <w:szCs w:val="28"/>
          <w:highlight w:val="none"/>
          <w:lang w:val="en-US" w:eastAsia="zh-CN"/>
        </w:rPr>
        <w:t>站房东</w:t>
      </w:r>
      <w:r>
        <w:rPr>
          <w:rFonts w:hint="eastAsia" w:ascii="宋体" w:hAnsi="宋体"/>
          <w:color w:val="auto"/>
          <w:szCs w:val="28"/>
          <w:highlight w:val="none"/>
        </w:rPr>
        <w:t>侧，</w:t>
      </w:r>
      <w:r>
        <w:rPr>
          <w:rFonts w:hint="eastAsia" w:ascii="宋体" w:hAnsi="宋体"/>
          <w:color w:val="auto"/>
          <w:kern w:val="2"/>
          <w:szCs w:val="21"/>
          <w:highlight w:val="none"/>
        </w:rPr>
        <w:t>现有</w:t>
      </w:r>
      <w:r>
        <w:rPr>
          <w:rFonts w:hint="eastAsia"/>
          <w:color w:val="auto"/>
          <w:highlight w:val="none"/>
          <w:lang w:val="en-US" w:eastAsia="zh-CN"/>
        </w:rPr>
        <w:t>3</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加油机（1台92#汽油、1台92#汽油/95#汽油、1台柴油</w:t>
      </w:r>
      <w:r>
        <w:rPr>
          <w:rFonts w:hint="eastAsia" w:ascii="宋体" w:hAnsi="宋体" w:cs="宋体"/>
          <w:bCs/>
          <w:color w:val="auto"/>
          <w:highlight w:val="none"/>
          <w:lang w:eastAsia="zh-CN"/>
        </w:rPr>
        <w:t>）</w:t>
      </w:r>
      <w:r>
        <w:rPr>
          <w:rFonts w:hint="eastAsia" w:ascii="宋体" w:hAnsi="宋体"/>
          <w:color w:val="auto"/>
          <w:kern w:val="2"/>
          <w:szCs w:val="21"/>
          <w:highlight w:val="none"/>
        </w:rPr>
        <w:t>，均为自吸式</w:t>
      </w:r>
      <w:r>
        <w:rPr>
          <w:rFonts w:hint="eastAsia" w:ascii="宋体"/>
          <w:color w:val="auto"/>
          <w:highlight w:val="none"/>
        </w:rPr>
        <w:t>；</w:t>
      </w:r>
      <w:r>
        <w:rPr>
          <w:rFonts w:hint="eastAsia" w:ascii="宋体" w:hAnsi="宋体"/>
          <w:color w:val="auto"/>
          <w:szCs w:val="28"/>
          <w:highlight w:val="none"/>
        </w:rPr>
        <w:t>油罐区位于</w:t>
      </w:r>
      <w:r>
        <w:rPr>
          <w:rFonts w:hint="eastAsia" w:ascii="宋体" w:hAnsi="宋体"/>
          <w:color w:val="auto"/>
          <w:szCs w:val="28"/>
          <w:highlight w:val="none"/>
          <w:lang w:val="en-US" w:eastAsia="zh-CN"/>
        </w:rPr>
        <w:t>站房西南侧非车行道下方</w:t>
      </w:r>
      <w:r>
        <w:rPr>
          <w:rFonts w:hint="eastAsia" w:ascii="宋体" w:hAnsi="宋体"/>
          <w:color w:val="auto"/>
          <w:szCs w:val="28"/>
          <w:highlight w:val="none"/>
        </w:rPr>
        <w:t>，</w:t>
      </w:r>
      <w:r>
        <w:rPr>
          <w:rFonts w:hint="eastAsia" w:ascii="宋体"/>
          <w:color w:val="auto"/>
          <w:highlight w:val="none"/>
        </w:rPr>
        <w:t>现有</w:t>
      </w:r>
      <w:r>
        <w:rPr>
          <w:rFonts w:hint="eastAsia" w:ascii="宋体"/>
          <w:color w:val="auto"/>
          <w:highlight w:val="none"/>
          <w:lang w:val="en-US" w:eastAsia="zh-CN"/>
        </w:rPr>
        <w:t>4</w:t>
      </w:r>
      <w:r>
        <w:rPr>
          <w:rFonts w:hint="eastAsia" w:ascii="宋体"/>
          <w:color w:val="auto"/>
          <w:highlight w:val="none"/>
        </w:rPr>
        <w:t>台</w:t>
      </w:r>
      <w:r>
        <w:rPr>
          <w:rFonts w:hint="eastAsia" w:ascii="宋体"/>
          <w:color w:val="auto"/>
          <w:highlight w:val="none"/>
          <w:lang w:val="en-US" w:eastAsia="zh-CN"/>
        </w:rPr>
        <w:t>3</w:t>
      </w:r>
      <w:r>
        <w:rPr>
          <w:rFonts w:hint="eastAsia" w:ascii="宋体"/>
          <w:color w:val="auto"/>
          <w:highlight w:val="none"/>
        </w:rPr>
        <w:t>0m³埋地双层储罐（1台92#</w:t>
      </w:r>
      <w:r>
        <w:rPr>
          <w:rFonts w:hint="eastAsia" w:ascii="宋体"/>
          <w:color w:val="auto"/>
          <w:highlight w:val="none"/>
          <w:lang w:eastAsia="zh-CN"/>
        </w:rPr>
        <w:t>汽油</w:t>
      </w:r>
      <w:r>
        <w:rPr>
          <w:rFonts w:hint="eastAsia" w:ascii="宋体"/>
          <w:color w:val="auto"/>
          <w:highlight w:val="none"/>
        </w:rPr>
        <w:t>罐、</w:t>
      </w:r>
      <w:r>
        <w:rPr>
          <w:rFonts w:hint="eastAsia" w:ascii="宋体"/>
          <w:color w:val="auto"/>
          <w:highlight w:val="none"/>
          <w:lang w:val="en-US" w:eastAsia="zh-CN"/>
        </w:rPr>
        <w:t>1</w:t>
      </w:r>
      <w:r>
        <w:rPr>
          <w:rFonts w:hint="eastAsia" w:ascii="宋体"/>
          <w:color w:val="auto"/>
          <w:highlight w:val="none"/>
        </w:rPr>
        <w:t>台95#</w:t>
      </w:r>
      <w:r>
        <w:rPr>
          <w:rFonts w:hint="eastAsia" w:ascii="宋体"/>
          <w:color w:val="auto"/>
          <w:highlight w:val="none"/>
          <w:lang w:eastAsia="zh-CN"/>
        </w:rPr>
        <w:t>汽油</w:t>
      </w:r>
      <w:r>
        <w:rPr>
          <w:rFonts w:hint="eastAsia" w:ascii="宋体"/>
          <w:color w:val="auto"/>
          <w:highlight w:val="none"/>
          <w:lang w:val="en-US" w:eastAsia="zh-CN"/>
        </w:rPr>
        <w:t>罐、2</w:t>
      </w:r>
      <w:r>
        <w:rPr>
          <w:rFonts w:hint="eastAsia" w:ascii="宋体"/>
          <w:color w:val="auto"/>
          <w:highlight w:val="none"/>
        </w:rPr>
        <w:t>台柴油罐），</w:t>
      </w:r>
      <w:r>
        <w:rPr>
          <w:rFonts w:hint="eastAsia" w:ascii="宋体" w:hAnsi="宋体"/>
          <w:color w:val="auto"/>
          <w:szCs w:val="28"/>
          <w:highlight w:val="none"/>
          <w:lang w:val="en-US" w:eastAsia="zh-CN"/>
        </w:rPr>
        <w:t>4</w:t>
      </w:r>
      <w:r>
        <w:rPr>
          <w:rFonts w:hint="eastAsia" w:ascii="宋体" w:hAnsi="宋体"/>
          <w:color w:val="auto"/>
          <w:szCs w:val="28"/>
          <w:highlight w:val="none"/>
        </w:rPr>
        <w:t>台油罐均安装了液位仪、检漏仪</w:t>
      </w:r>
      <w:r>
        <w:rPr>
          <w:rFonts w:hint="eastAsia" w:ascii="宋体"/>
          <w:color w:val="auto"/>
          <w:highlight w:val="none"/>
        </w:rPr>
        <w:t>；</w:t>
      </w:r>
      <w:r>
        <w:rPr>
          <w:rFonts w:hint="eastAsia" w:ascii="宋体"/>
          <w:color w:val="auto"/>
          <w:highlight w:val="none"/>
          <w:lang w:eastAsia="zh-CN"/>
        </w:rPr>
        <w:t>汽油、</w:t>
      </w:r>
      <w:r>
        <w:rPr>
          <w:rFonts w:hint="eastAsia" w:ascii="宋体"/>
          <w:color w:val="auto"/>
          <w:highlight w:val="none"/>
        </w:rPr>
        <w:t>柴油卸油口位于罐区</w:t>
      </w:r>
      <w:r>
        <w:rPr>
          <w:rFonts w:hint="eastAsia" w:ascii="宋体"/>
          <w:color w:val="auto"/>
          <w:highlight w:val="none"/>
          <w:lang w:val="en-US" w:eastAsia="zh-CN"/>
        </w:rPr>
        <w:t>东</w:t>
      </w:r>
      <w:r>
        <w:rPr>
          <w:rFonts w:hint="eastAsia" w:ascii="宋体"/>
          <w:color w:val="auto"/>
          <w:highlight w:val="none"/>
        </w:rPr>
        <w:t>侧；</w:t>
      </w:r>
      <w:r>
        <w:rPr>
          <w:rFonts w:hint="eastAsia" w:ascii="宋体" w:hAnsi="宋体"/>
          <w:color w:val="auto"/>
          <w:szCs w:val="28"/>
          <w:highlight w:val="none"/>
        </w:rPr>
        <w:t>通气管</w:t>
      </w:r>
      <w:r>
        <w:rPr>
          <w:rFonts w:hint="eastAsia" w:ascii="宋体" w:hAnsi="宋体"/>
          <w:color w:val="auto"/>
          <w:szCs w:val="28"/>
          <w:highlight w:val="none"/>
          <w:lang w:val="en-US" w:eastAsia="zh-CN"/>
        </w:rPr>
        <w:t>4</w:t>
      </w:r>
      <w:r>
        <w:rPr>
          <w:rFonts w:hint="eastAsia" w:ascii="宋体" w:hAnsi="宋体"/>
          <w:color w:val="auto"/>
          <w:szCs w:val="28"/>
          <w:highlight w:val="none"/>
        </w:rPr>
        <w:t>根</w:t>
      </w:r>
      <w:r>
        <w:rPr>
          <w:rFonts w:hint="eastAsia" w:ascii="宋体" w:hAnsi="宋体"/>
          <w:color w:val="auto"/>
          <w:szCs w:val="28"/>
          <w:highlight w:val="none"/>
          <w:lang w:val="en-US" w:eastAsia="zh-CN"/>
        </w:rPr>
        <w:t>位于罐区中间</w:t>
      </w:r>
      <w:r>
        <w:rPr>
          <w:rFonts w:hint="eastAsia" w:ascii="宋体" w:hAnsi="宋体"/>
          <w:color w:val="auto"/>
          <w:szCs w:val="28"/>
          <w:highlight w:val="none"/>
        </w:rPr>
        <w:t>，该站设有卸油油气回收系统、加油油气回收系统</w:t>
      </w:r>
      <w:r>
        <w:rPr>
          <w:rFonts w:hint="eastAsia" w:ascii="宋体" w:hAnsi="宋体"/>
          <w:color w:val="auto"/>
          <w:szCs w:val="28"/>
          <w:highlight w:val="none"/>
          <w:lang w:eastAsia="zh-CN"/>
        </w:rPr>
        <w:t>、</w:t>
      </w:r>
      <w:r>
        <w:rPr>
          <w:rFonts w:hint="eastAsia" w:ascii="宋体" w:hAnsi="宋体"/>
          <w:color w:val="auto"/>
          <w:szCs w:val="28"/>
          <w:highlight w:val="none"/>
          <w:lang w:val="en-US" w:eastAsia="zh-CN"/>
        </w:rPr>
        <w:t>油气回收处理系统</w:t>
      </w:r>
      <w:r>
        <w:rPr>
          <w:rFonts w:hint="eastAsia" w:ascii="宋体" w:hAnsi="宋体"/>
          <w:color w:val="auto"/>
          <w:szCs w:val="28"/>
          <w:highlight w:val="none"/>
        </w:rPr>
        <w:t>；</w:t>
      </w:r>
      <w:r>
        <w:rPr>
          <w:rFonts w:hint="eastAsia" w:ascii="宋体"/>
          <w:color w:val="auto"/>
          <w:highlight w:val="none"/>
        </w:rPr>
        <w:t>按《汽车加油加气加氢站技术标准》GB50156-2021标准规定：油罐总储量为</w:t>
      </w:r>
      <w:r>
        <w:rPr>
          <w:rFonts w:hint="eastAsia" w:ascii="宋体"/>
          <w:color w:val="auto"/>
          <w:highlight w:val="none"/>
          <w:lang w:val="en-US" w:eastAsia="zh-CN"/>
        </w:rPr>
        <w:t>120</w:t>
      </w:r>
      <w:r>
        <w:rPr>
          <w:rFonts w:hint="eastAsia" w:ascii="宋体"/>
          <w:color w:val="auto"/>
          <w:highlight w:val="none"/>
        </w:rPr>
        <w:t>m³，柴油储罐容积折半计入总容积为</w:t>
      </w:r>
      <w:r>
        <w:rPr>
          <w:rFonts w:hint="eastAsia" w:ascii="宋体"/>
          <w:color w:val="auto"/>
          <w:highlight w:val="none"/>
          <w:lang w:val="en-US" w:eastAsia="zh-CN"/>
        </w:rPr>
        <w:t>90</w:t>
      </w:r>
      <w:r>
        <w:rPr>
          <w:rFonts w:hint="eastAsia" w:ascii="宋体"/>
          <w:color w:val="auto"/>
          <w:highlight w:val="none"/>
        </w:rPr>
        <w:t>m³，该站属</w:t>
      </w:r>
      <w:r>
        <w:rPr>
          <w:rFonts w:hint="eastAsia" w:ascii="宋体"/>
          <w:color w:val="auto"/>
          <w:highlight w:val="none"/>
          <w:lang w:val="en-US" w:eastAsia="zh-CN"/>
        </w:rPr>
        <w:t>三</w:t>
      </w:r>
      <w:r>
        <w:rPr>
          <w:rFonts w:hint="eastAsia" w:ascii="宋体"/>
          <w:color w:val="auto"/>
          <w:highlight w:val="none"/>
        </w:rPr>
        <w:t>级加油站。</w:t>
      </w:r>
    </w:p>
    <w:p w14:paraId="445B8424">
      <w:pPr>
        <w:pStyle w:val="18"/>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58A12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1DF1CF0A">
            <w:pPr>
              <w:pStyle w:val="19"/>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143DC945">
            <w:pPr>
              <w:pStyle w:val="19"/>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3E03B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3D0686E2">
            <w:pPr>
              <w:pStyle w:val="19"/>
              <w:widowControl w:val="0"/>
              <w:adjustRightInd w:val="0"/>
              <w:snapToGrid w:val="0"/>
              <w:spacing w:line="360" w:lineRule="auto"/>
              <w:rPr>
                <w:rFonts w:ascii="宋体" w:hAnsi="宋体"/>
                <w:b/>
                <w:bCs/>
                <w:color w:val="auto"/>
                <w:highlight w:val="none"/>
              </w:rPr>
            </w:pPr>
          </w:p>
        </w:tc>
        <w:tc>
          <w:tcPr>
            <w:tcW w:w="1667" w:type="pct"/>
            <w:vAlign w:val="center"/>
          </w:tcPr>
          <w:p w14:paraId="6AA31425">
            <w:pPr>
              <w:pStyle w:val="19"/>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54681EE0">
            <w:pPr>
              <w:pStyle w:val="19"/>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67DD3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C685D11">
            <w:pPr>
              <w:pStyle w:val="19"/>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27AD5630">
            <w:pPr>
              <w:pStyle w:val="19"/>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2C18BADF">
            <w:pPr>
              <w:pStyle w:val="19"/>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7DAA0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5F420FE">
            <w:pPr>
              <w:pStyle w:val="19"/>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3C8B5C2D">
            <w:pPr>
              <w:pStyle w:val="19"/>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79B4E96E">
            <w:pPr>
              <w:pStyle w:val="19"/>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0E688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14C7096">
            <w:pPr>
              <w:pStyle w:val="19"/>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53969094">
            <w:pPr>
              <w:pStyle w:val="19"/>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162DB421">
            <w:pPr>
              <w:pStyle w:val="19"/>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5083A9AF">
      <w:pPr>
        <w:pStyle w:val="20"/>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733FF5B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6</w:t>
      </w:r>
      <w:r>
        <w:rPr>
          <w:rFonts w:hint="eastAsia" w:ascii="宋体" w:hAnsi="宋体"/>
          <w:color w:val="auto"/>
          <w:sz w:val="28"/>
          <w:highlight w:val="none"/>
          <w:lang w:eastAsia="zh-CN"/>
        </w:rPr>
        <w:t>人</w:t>
      </w:r>
      <w:r>
        <w:rPr>
          <w:rFonts w:hint="eastAsia" w:ascii="宋体" w:hAnsi="宋体"/>
          <w:color w:val="auto"/>
          <w:sz w:val="28"/>
          <w:highlight w:val="none"/>
        </w:rPr>
        <w:t>，其中主要负责人1人，安全生产管理员1人。主要负责人和安全生产管理人员已参加了危险化学品安全管理培训，并取得考核合格证，详见附页。</w:t>
      </w:r>
    </w:p>
    <w:p w14:paraId="585A1564">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8"/>
          <w:szCs w:val="20"/>
          <w:highlight w:val="none"/>
          <w:lang w:val="en-US" w:eastAsia="zh-CN" w:bidi="ar-SA"/>
        </w:rPr>
      </w:pPr>
      <w:r>
        <w:rPr>
          <w:rFonts w:hint="eastAsia" w:ascii="宋体" w:hAnsi="宋体" w:eastAsia="宋体" w:cs="宋体"/>
          <w:color w:val="auto"/>
          <w:sz w:val="28"/>
          <w:szCs w:val="20"/>
          <w:highlight w:val="none"/>
          <w:lang w:val="en-US" w:eastAsia="zh-CN" w:bidi="ar-SA"/>
        </w:rPr>
        <w:t>加油站</w:t>
      </w:r>
      <w:r>
        <w:rPr>
          <w:rFonts w:hint="eastAsia" w:ascii="宋体" w:hAnsi="宋体" w:cs="宋体"/>
          <w:color w:val="auto"/>
          <w:sz w:val="28"/>
          <w:szCs w:val="20"/>
          <w:highlight w:val="none"/>
          <w:lang w:val="en-US" w:eastAsia="zh-CN" w:bidi="ar-SA"/>
        </w:rPr>
        <w:t>（曾用名</w:t>
      </w:r>
      <w:r>
        <w:rPr>
          <w:rFonts w:hint="eastAsia" w:ascii="宋体" w:hAnsi="宋体"/>
          <w:color w:val="auto"/>
          <w:sz w:val="28"/>
          <w:szCs w:val="28"/>
          <w:highlight w:val="none"/>
        </w:rPr>
        <w:t>中国石化山东泰山石油股份有限公司</w:t>
      </w:r>
      <w:r>
        <w:rPr>
          <w:rFonts w:hint="eastAsia" w:ascii="宋体" w:hAnsi="宋体"/>
          <w:color w:val="auto"/>
          <w:sz w:val="28"/>
          <w:szCs w:val="28"/>
          <w:highlight w:val="none"/>
          <w:lang w:val="en-US" w:eastAsia="zh-CN"/>
        </w:rPr>
        <w:t>肥城分公司第二十三</w:t>
      </w:r>
      <w:r>
        <w:rPr>
          <w:rFonts w:hint="eastAsia" w:ascii="宋体" w:hAnsi="宋体"/>
          <w:color w:val="auto"/>
          <w:sz w:val="28"/>
          <w:szCs w:val="28"/>
          <w:highlight w:val="none"/>
        </w:rPr>
        <w:t>加油站</w:t>
      </w:r>
      <w:r>
        <w:rPr>
          <w:rFonts w:hint="eastAsia" w:ascii="宋体" w:hAnsi="宋体" w:cs="宋体"/>
          <w:color w:val="auto"/>
          <w:sz w:val="28"/>
          <w:szCs w:val="20"/>
          <w:highlight w:val="none"/>
          <w:lang w:val="en-US" w:eastAsia="zh-CN" w:bidi="ar-SA"/>
        </w:rPr>
        <w:t>）</w:t>
      </w:r>
      <w:r>
        <w:rPr>
          <w:rFonts w:hint="eastAsia" w:ascii="宋体" w:hAnsi="宋体" w:eastAsia="宋体" w:cs="宋体"/>
          <w:color w:val="auto"/>
          <w:sz w:val="28"/>
          <w:szCs w:val="20"/>
          <w:highlight w:val="none"/>
          <w:lang w:val="en-US" w:eastAsia="zh-CN" w:bidi="ar-SA"/>
        </w:rPr>
        <w:t>于2001年04月14日取得了肥城市公安消防大队出具的</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消防安全许可证</w:t>
      </w:r>
      <w:r>
        <w:rPr>
          <w:rFonts w:hint="eastAsia" w:ascii="宋体" w:hAnsi="宋体" w:eastAsia="宋体" w:cs="宋体"/>
          <w:color w:val="auto"/>
          <w:highlight w:val="none"/>
        </w:rPr>
        <w:t>》</w:t>
      </w:r>
      <w:r>
        <w:rPr>
          <w:rFonts w:hint="eastAsia" w:ascii="宋体" w:hAnsi="宋体" w:eastAsia="宋体" w:cs="宋体"/>
          <w:color w:val="auto"/>
          <w:sz w:val="28"/>
          <w:szCs w:val="20"/>
          <w:highlight w:val="none"/>
          <w:lang w:val="en-US" w:eastAsia="zh-CN" w:bidi="ar-SA"/>
        </w:rPr>
        <w:t>，证书编号：肥公消监</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01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危储字041</w:t>
      </w:r>
      <w:r>
        <w:rPr>
          <w:rFonts w:hint="eastAsia" w:ascii="宋体" w:hAnsi="宋体" w:eastAsia="宋体" w:cs="宋体"/>
          <w:color w:val="auto"/>
          <w:sz w:val="28"/>
          <w:szCs w:val="20"/>
          <w:highlight w:val="none"/>
          <w:lang w:val="en-US" w:eastAsia="zh-CN" w:bidi="ar-SA"/>
        </w:rPr>
        <w:t>号；2006年7月10日取得了肥城市公安消防大队出具的</w:t>
      </w:r>
      <w:r>
        <w:rPr>
          <w:rFonts w:hint="eastAsia" w:ascii="宋体" w:hAnsi="宋体" w:eastAsia="宋体" w:cs="宋体"/>
          <w:color w:val="auto"/>
          <w:sz w:val="28"/>
          <w:highlight w:val="none"/>
        </w:rPr>
        <w:t>《</w:t>
      </w:r>
      <w:r>
        <w:rPr>
          <w:rFonts w:hint="eastAsia" w:ascii="宋体" w:hAnsi="宋体" w:eastAsia="宋体" w:cs="宋体"/>
          <w:color w:val="auto"/>
          <w:sz w:val="28"/>
          <w:szCs w:val="20"/>
          <w:highlight w:val="none"/>
          <w:lang w:val="en-US" w:eastAsia="zh-CN" w:bidi="ar-SA"/>
        </w:rPr>
        <w:t>关于对中石化肥城20座加油站消防安全检查的意见</w:t>
      </w:r>
      <w:r>
        <w:rPr>
          <w:rFonts w:hint="eastAsia" w:ascii="宋体" w:hAnsi="宋体" w:eastAsia="宋体" w:cs="宋体"/>
          <w:color w:val="auto"/>
          <w:sz w:val="28"/>
          <w:highlight w:val="none"/>
        </w:rPr>
        <w:t>》</w:t>
      </w:r>
      <w:r>
        <w:rPr>
          <w:rFonts w:hint="eastAsia" w:ascii="宋体" w:hAnsi="宋体" w:eastAsia="宋体" w:cs="宋体"/>
          <w:color w:val="auto"/>
          <w:sz w:val="28"/>
          <w:highlight w:val="none"/>
          <w:lang w:eastAsia="zh-CN"/>
        </w:rPr>
        <w:t>，</w:t>
      </w:r>
      <w:r>
        <w:rPr>
          <w:rFonts w:hint="eastAsia" w:ascii="宋体" w:hAnsi="宋体" w:eastAsia="宋体" w:cs="宋体"/>
          <w:color w:val="auto"/>
          <w:sz w:val="28"/>
          <w:highlight w:val="none"/>
          <w:lang w:val="en-US" w:eastAsia="zh-CN"/>
        </w:rPr>
        <w:t>检查结果：符合国家有关消防技术规范的规定；</w:t>
      </w:r>
      <w:r>
        <w:rPr>
          <w:rFonts w:hint="eastAsia" w:ascii="宋体" w:hAnsi="宋体" w:eastAsia="宋体" w:cs="宋体"/>
          <w:color w:val="auto"/>
          <w:sz w:val="28"/>
          <w:szCs w:val="20"/>
          <w:highlight w:val="none"/>
          <w:lang w:val="en-US" w:eastAsia="zh-CN" w:bidi="ar-SA"/>
        </w:rPr>
        <w:t>详见附件。</w:t>
      </w:r>
    </w:p>
    <w:p w14:paraId="6CDD744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auto"/>
          <w:sz w:val="28"/>
          <w:highlight w:val="none"/>
        </w:rPr>
      </w:pPr>
      <w:r>
        <w:rPr>
          <w:rFonts w:hint="eastAsia" w:ascii="宋体" w:hAnsi="宋体" w:cs="宋体"/>
          <w:color w:val="auto"/>
          <w:sz w:val="28"/>
          <w:highlight w:val="none"/>
          <w:lang w:val="en-US" w:eastAsia="zh-CN"/>
        </w:rPr>
        <w:t>肥城市正达石油制品有限公司</w:t>
      </w:r>
      <w:r>
        <w:rPr>
          <w:rFonts w:hint="eastAsia" w:ascii="宋体" w:hAnsi="宋体" w:eastAsia="宋体" w:cs="宋体"/>
          <w:color w:val="auto"/>
          <w:sz w:val="28"/>
          <w:highlight w:val="none"/>
        </w:rPr>
        <w:t>于</w:t>
      </w:r>
      <w:r>
        <w:rPr>
          <w:rFonts w:hint="eastAsia" w:ascii="宋体" w:hAnsi="宋体" w:eastAsia="宋体" w:cs="宋体"/>
          <w:color w:val="auto"/>
          <w:sz w:val="28"/>
          <w:highlight w:val="none"/>
          <w:lang w:val="en-US" w:eastAsia="zh-CN"/>
        </w:rPr>
        <w:t>2015</w:t>
      </w:r>
      <w:r>
        <w:rPr>
          <w:rFonts w:hint="eastAsia" w:ascii="宋体" w:hAnsi="宋体" w:eastAsia="宋体" w:cs="宋体"/>
          <w:color w:val="auto"/>
          <w:sz w:val="28"/>
          <w:highlight w:val="none"/>
        </w:rPr>
        <w:t>年</w:t>
      </w:r>
      <w:r>
        <w:rPr>
          <w:rFonts w:hint="eastAsia" w:ascii="宋体" w:hAnsi="宋体" w:eastAsia="宋体" w:cs="宋体"/>
          <w:color w:val="auto"/>
          <w:sz w:val="28"/>
          <w:highlight w:val="none"/>
          <w:lang w:val="en-US" w:eastAsia="zh-CN"/>
        </w:rPr>
        <w:t>5月1日与范光笏签署了</w:t>
      </w:r>
      <w:r>
        <w:rPr>
          <w:rFonts w:hint="eastAsia" w:ascii="宋体" w:hAnsi="宋体" w:eastAsia="宋体" w:cs="宋体"/>
          <w:color w:val="auto"/>
          <w:sz w:val="28"/>
          <w:highlight w:val="none"/>
        </w:rPr>
        <w:t>《</w:t>
      </w:r>
      <w:r>
        <w:rPr>
          <w:rFonts w:hint="eastAsia" w:ascii="宋体" w:hAnsi="宋体" w:eastAsia="宋体" w:cs="宋体"/>
          <w:color w:val="auto"/>
          <w:sz w:val="28"/>
          <w:highlight w:val="none"/>
          <w:lang w:val="en-US" w:eastAsia="zh-CN"/>
        </w:rPr>
        <w:t>财产租赁合同书</w:t>
      </w:r>
      <w:r>
        <w:rPr>
          <w:rFonts w:hint="eastAsia" w:ascii="宋体" w:hAnsi="宋体" w:eastAsia="宋体" w:cs="宋体"/>
          <w:color w:val="auto"/>
          <w:sz w:val="28"/>
          <w:highlight w:val="none"/>
        </w:rPr>
        <w:t>》，</w:t>
      </w:r>
      <w:r>
        <w:rPr>
          <w:rFonts w:hint="eastAsia" w:ascii="宋体" w:hAnsi="宋体" w:eastAsia="宋体" w:cs="宋体"/>
          <w:color w:val="auto"/>
          <w:sz w:val="28"/>
          <w:highlight w:val="none"/>
          <w:lang w:val="en-US" w:eastAsia="zh-CN"/>
        </w:rPr>
        <w:t>租赁期十五年，合同有效期自2014年10月1日起至2029年9月30日止，</w:t>
      </w:r>
      <w:r>
        <w:rPr>
          <w:rFonts w:hint="eastAsia" w:ascii="宋体" w:hAnsi="宋体" w:eastAsia="宋体" w:cs="宋体"/>
          <w:color w:val="auto"/>
          <w:sz w:val="28"/>
          <w:highlight w:val="none"/>
        </w:rPr>
        <w:t>详见附件。</w:t>
      </w:r>
    </w:p>
    <w:p w14:paraId="1CB24B4F">
      <w:pPr>
        <w:pStyle w:val="1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2</w:t>
      </w:r>
      <w:r>
        <w:rPr>
          <w:rFonts w:hint="eastAsia" w:ascii="宋体"/>
          <w:color w:val="auto"/>
          <w:highlight w:val="none"/>
        </w:rPr>
        <w:t>年</w:t>
      </w:r>
      <w:r>
        <w:rPr>
          <w:rFonts w:hint="eastAsia" w:ascii="宋体"/>
          <w:color w:val="auto"/>
          <w:highlight w:val="none"/>
          <w:lang w:val="en-US" w:eastAsia="zh-CN"/>
        </w:rPr>
        <w:t>4</w:t>
      </w:r>
      <w:r>
        <w:rPr>
          <w:rFonts w:hint="eastAsia" w:ascii="宋体"/>
          <w:color w:val="auto"/>
          <w:highlight w:val="none"/>
        </w:rPr>
        <w:t>月</w:t>
      </w:r>
      <w:r>
        <w:rPr>
          <w:rFonts w:hint="eastAsia" w:ascii="宋体"/>
          <w:color w:val="auto"/>
          <w:highlight w:val="none"/>
          <w:lang w:val="en-US" w:eastAsia="zh-CN"/>
        </w:rPr>
        <w:t>21</w:t>
      </w:r>
      <w:r>
        <w:rPr>
          <w:rFonts w:hint="eastAsia" w:ascii="宋体"/>
          <w:color w:val="auto"/>
          <w:highlight w:val="none"/>
        </w:rPr>
        <w:t>日换发了《危险化学品经营许可证》，证书编号：鲁泰危化经[20</w:t>
      </w:r>
      <w:r>
        <w:rPr>
          <w:rFonts w:hint="eastAsia" w:ascii="宋体"/>
          <w:color w:val="auto"/>
          <w:highlight w:val="none"/>
          <w:lang w:val="en-US" w:eastAsia="zh-CN"/>
        </w:rPr>
        <w:t>22</w:t>
      </w:r>
      <w:r>
        <w:rPr>
          <w:rFonts w:hint="eastAsia" w:ascii="宋体"/>
          <w:color w:val="auto"/>
          <w:highlight w:val="none"/>
        </w:rPr>
        <w:t>]0</w:t>
      </w:r>
      <w:r>
        <w:rPr>
          <w:rFonts w:hint="eastAsia" w:ascii="宋体"/>
          <w:color w:val="auto"/>
          <w:highlight w:val="none"/>
          <w:lang w:val="en-US" w:eastAsia="zh-CN"/>
        </w:rPr>
        <w:t>40050</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6</w:t>
      </w:r>
      <w:r>
        <w:rPr>
          <w:rFonts w:hint="eastAsia" w:ascii="宋体"/>
          <w:color w:val="auto"/>
          <w:highlight w:val="none"/>
        </w:rPr>
        <w:t>月</w:t>
      </w:r>
      <w:r>
        <w:rPr>
          <w:rFonts w:hint="eastAsia" w:ascii="宋体"/>
          <w:color w:val="auto"/>
          <w:highlight w:val="none"/>
          <w:lang w:val="en-US" w:eastAsia="zh-CN"/>
        </w:rPr>
        <w:t>20</w:t>
      </w:r>
      <w:r>
        <w:rPr>
          <w:rFonts w:hint="eastAsia" w:ascii="宋体"/>
          <w:color w:val="auto"/>
          <w:highlight w:val="none"/>
        </w:rPr>
        <w:t>日，证书见附件。</w:t>
      </w:r>
    </w:p>
    <w:p w14:paraId="3D11B75C">
      <w:pPr>
        <w:pStyle w:val="1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4</w:t>
      </w:r>
      <w:r>
        <w:rPr>
          <w:rFonts w:ascii="宋体"/>
          <w:color w:val="auto"/>
          <w:highlight w:val="none"/>
        </w:rPr>
        <w:t>年</w:t>
      </w:r>
      <w:r>
        <w:rPr>
          <w:rFonts w:hint="eastAsia" w:ascii="宋体"/>
          <w:color w:val="auto"/>
          <w:highlight w:val="none"/>
          <w:lang w:val="en-US" w:eastAsia="zh-CN"/>
        </w:rPr>
        <w:t>3</w:t>
      </w:r>
      <w:r>
        <w:rPr>
          <w:rFonts w:ascii="宋体"/>
          <w:color w:val="auto"/>
          <w:highlight w:val="none"/>
        </w:rPr>
        <w:t>月</w:t>
      </w:r>
      <w:r>
        <w:rPr>
          <w:rFonts w:hint="eastAsia" w:ascii="宋体"/>
          <w:color w:val="auto"/>
          <w:highlight w:val="none"/>
          <w:lang w:val="en-US" w:eastAsia="zh-CN"/>
        </w:rPr>
        <w:t>22</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鲁油零售证书第37090</w:t>
      </w:r>
      <w:r>
        <w:rPr>
          <w:rFonts w:hint="eastAsia" w:ascii="宋体"/>
          <w:color w:val="auto"/>
          <w:highlight w:val="none"/>
          <w:lang w:val="en-US" w:eastAsia="zh-CN"/>
        </w:rPr>
        <w:t>61021</w:t>
      </w:r>
      <w:r>
        <w:rPr>
          <w:rFonts w:ascii="宋体"/>
          <w:color w:val="auto"/>
          <w:highlight w:val="none"/>
        </w:rPr>
        <w:t>号</w:t>
      </w:r>
      <w:r>
        <w:rPr>
          <w:rFonts w:hint="eastAsia" w:ascii="宋体"/>
          <w:color w:val="auto"/>
          <w:highlight w:val="none"/>
        </w:rPr>
        <w:t>，证书有效期至202</w:t>
      </w:r>
      <w:r>
        <w:rPr>
          <w:rFonts w:hint="eastAsia" w:ascii="宋体"/>
          <w:color w:val="auto"/>
          <w:highlight w:val="none"/>
          <w:lang w:val="en-US" w:eastAsia="zh-CN"/>
        </w:rPr>
        <w:t>9</w:t>
      </w:r>
      <w:r>
        <w:rPr>
          <w:rFonts w:hint="eastAsia" w:ascii="宋体"/>
          <w:color w:val="auto"/>
          <w:highlight w:val="none"/>
        </w:rPr>
        <w:t>年</w:t>
      </w:r>
      <w:r>
        <w:rPr>
          <w:rFonts w:hint="eastAsia" w:ascii="宋体"/>
          <w:color w:val="auto"/>
          <w:highlight w:val="none"/>
          <w:lang w:val="en-US" w:eastAsia="zh-CN"/>
        </w:rPr>
        <w:t>03</w:t>
      </w:r>
      <w:r>
        <w:rPr>
          <w:rFonts w:hint="eastAsia" w:ascii="宋体"/>
          <w:color w:val="auto"/>
          <w:highlight w:val="none"/>
        </w:rPr>
        <w:t>月</w:t>
      </w:r>
      <w:r>
        <w:rPr>
          <w:rFonts w:hint="eastAsia" w:ascii="宋体"/>
          <w:color w:val="auto"/>
          <w:highlight w:val="none"/>
          <w:lang w:val="en-US" w:eastAsia="zh-CN"/>
        </w:rPr>
        <w:t>22</w:t>
      </w:r>
      <w:r>
        <w:rPr>
          <w:rFonts w:hint="eastAsia" w:ascii="宋体"/>
          <w:color w:val="auto"/>
          <w:highlight w:val="none"/>
        </w:rPr>
        <w:t>日，证书见附件</w:t>
      </w:r>
      <w:r>
        <w:rPr>
          <w:rFonts w:ascii="宋体"/>
          <w:color w:val="auto"/>
          <w:highlight w:val="none"/>
        </w:rPr>
        <w:t>。</w:t>
      </w:r>
    </w:p>
    <w:p w14:paraId="627A3AC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该站编制了生产安全事故应急预案，于202</w:t>
      </w:r>
      <w:r>
        <w:rPr>
          <w:rFonts w:hint="eastAsia" w:ascii="宋体" w:hAnsi="宋体"/>
          <w:color w:val="auto"/>
          <w:sz w:val="28"/>
          <w:highlight w:val="none"/>
          <w:lang w:val="en-US" w:eastAsia="zh-CN"/>
        </w:rPr>
        <w:t>4年7</w:t>
      </w:r>
      <w:r>
        <w:rPr>
          <w:rFonts w:hint="eastAsia" w:ascii="宋体" w:hAnsi="宋体"/>
          <w:color w:val="auto"/>
          <w:sz w:val="28"/>
          <w:highlight w:val="none"/>
        </w:rPr>
        <w:t>月</w:t>
      </w:r>
      <w:r>
        <w:rPr>
          <w:rFonts w:hint="eastAsia" w:ascii="宋体" w:hAnsi="宋体"/>
          <w:color w:val="auto"/>
          <w:sz w:val="28"/>
          <w:highlight w:val="none"/>
          <w:lang w:val="en-US" w:eastAsia="zh-CN"/>
        </w:rPr>
        <w:t>8</w:t>
      </w:r>
      <w:r>
        <w:rPr>
          <w:rFonts w:hint="eastAsia" w:ascii="宋体" w:hAnsi="宋体"/>
          <w:color w:val="auto"/>
          <w:sz w:val="28"/>
          <w:highlight w:val="none"/>
        </w:rPr>
        <w:t>日在</w:t>
      </w:r>
      <w:r>
        <w:rPr>
          <w:rFonts w:hint="eastAsia" w:ascii="宋体" w:hAnsi="宋体"/>
          <w:color w:val="auto"/>
          <w:sz w:val="28"/>
          <w:highlight w:val="none"/>
          <w:lang w:val="en-US" w:eastAsia="zh-CN"/>
        </w:rPr>
        <w:t>肥城</w:t>
      </w:r>
      <w:r>
        <w:rPr>
          <w:rFonts w:hint="eastAsia" w:ascii="宋体" w:hAnsi="宋体"/>
          <w:color w:val="auto"/>
          <w:sz w:val="28"/>
          <w:highlight w:val="none"/>
        </w:rPr>
        <w:t>市应急管理局进行了备案，备案编号为：3709</w:t>
      </w:r>
      <w:r>
        <w:rPr>
          <w:rFonts w:hint="eastAsia" w:ascii="宋体" w:hAnsi="宋体"/>
          <w:color w:val="auto"/>
          <w:sz w:val="28"/>
          <w:highlight w:val="none"/>
          <w:lang w:val="en-US" w:eastAsia="zh-CN"/>
        </w:rPr>
        <w:t>83</w:t>
      </w:r>
      <w:r>
        <w:rPr>
          <w:rFonts w:hint="eastAsia" w:ascii="宋体" w:hAnsi="宋体"/>
          <w:color w:val="auto"/>
          <w:sz w:val="28"/>
          <w:highlight w:val="none"/>
        </w:rPr>
        <w:t>-202</w:t>
      </w:r>
      <w:r>
        <w:rPr>
          <w:rFonts w:hint="eastAsia" w:ascii="宋体" w:hAnsi="宋体"/>
          <w:color w:val="auto"/>
          <w:sz w:val="28"/>
          <w:highlight w:val="none"/>
          <w:lang w:val="en-US" w:eastAsia="zh-CN"/>
        </w:rPr>
        <w:t>4</w:t>
      </w:r>
      <w:r>
        <w:rPr>
          <w:rFonts w:hint="eastAsia" w:ascii="宋体" w:hAnsi="宋体"/>
          <w:color w:val="auto"/>
          <w:sz w:val="28"/>
          <w:highlight w:val="none"/>
        </w:rPr>
        <w:t>-</w:t>
      </w:r>
      <w:r>
        <w:rPr>
          <w:rFonts w:hint="eastAsia" w:ascii="宋体" w:hAnsi="宋体"/>
          <w:color w:val="auto"/>
          <w:sz w:val="28"/>
          <w:highlight w:val="none"/>
          <w:lang w:val="en-US" w:eastAsia="zh-CN"/>
        </w:rPr>
        <w:t>W038</w:t>
      </w:r>
      <w:r>
        <w:rPr>
          <w:rFonts w:hint="eastAsia" w:ascii="宋体" w:hAnsi="宋体"/>
          <w:color w:val="auto"/>
          <w:sz w:val="28"/>
          <w:highlight w:val="none"/>
        </w:rPr>
        <w:t>，详见附件。</w:t>
      </w:r>
    </w:p>
    <w:p w14:paraId="11B363B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w:t>
      </w:r>
      <w:r>
        <w:rPr>
          <w:rFonts w:hint="eastAsia" w:ascii="宋体" w:hAnsi="宋体"/>
          <w:color w:val="auto"/>
          <w:sz w:val="28"/>
          <w:highlight w:val="none"/>
          <w:lang w:val="en-US" w:eastAsia="zh-CN"/>
        </w:rPr>
        <w:t>（1122016001）[</w:t>
      </w:r>
      <w:r>
        <w:rPr>
          <w:rFonts w:hint="eastAsia" w:ascii="宋体" w:hAnsi="宋体"/>
          <w:color w:val="auto"/>
          <w:sz w:val="28"/>
          <w:highlight w:val="none"/>
        </w:rPr>
        <w:t>202</w:t>
      </w:r>
      <w:r>
        <w:rPr>
          <w:rFonts w:hint="eastAsia" w:ascii="宋体" w:hAnsi="宋体"/>
          <w:color w:val="auto"/>
          <w:sz w:val="28"/>
          <w:highlight w:val="none"/>
          <w:lang w:val="en-US" w:eastAsia="zh-CN"/>
        </w:rPr>
        <w:t>5]D</w:t>
      </w:r>
      <w:r>
        <w:rPr>
          <w:rFonts w:hint="eastAsia" w:ascii="宋体" w:hAnsi="宋体"/>
          <w:color w:val="auto"/>
          <w:sz w:val="28"/>
          <w:highlight w:val="none"/>
        </w:rPr>
        <w:t>-</w:t>
      </w:r>
      <w:r>
        <w:rPr>
          <w:rFonts w:hint="eastAsia" w:ascii="宋体" w:hAnsi="宋体"/>
          <w:color w:val="auto"/>
          <w:sz w:val="28"/>
          <w:highlight w:val="none"/>
          <w:lang w:val="en-US" w:eastAsia="zh-CN"/>
        </w:rPr>
        <w:t>TAFC0011</w:t>
      </w:r>
      <w:r>
        <w:rPr>
          <w:rFonts w:hint="eastAsia" w:ascii="宋体" w:hAnsi="宋体"/>
          <w:color w:val="auto"/>
          <w:sz w:val="28"/>
          <w:highlight w:val="none"/>
        </w:rPr>
        <w:t>号，防雷类别：二类，结论为“合格：雷电防护装置符合现行国家防雷规范标准要求”，有效期至202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09</w:t>
      </w:r>
      <w:r>
        <w:rPr>
          <w:rFonts w:hint="eastAsia" w:ascii="宋体" w:hAnsi="宋体"/>
          <w:color w:val="auto"/>
          <w:sz w:val="28"/>
          <w:highlight w:val="none"/>
        </w:rPr>
        <w:t>月1</w:t>
      </w:r>
      <w:r>
        <w:rPr>
          <w:rFonts w:hint="eastAsia" w:ascii="宋体" w:hAnsi="宋体"/>
          <w:color w:val="auto"/>
          <w:sz w:val="28"/>
          <w:highlight w:val="none"/>
          <w:lang w:val="en-US" w:eastAsia="zh-CN"/>
        </w:rPr>
        <w:t>1</w:t>
      </w:r>
      <w:r>
        <w:rPr>
          <w:rFonts w:hint="eastAsia" w:ascii="宋体" w:hAnsi="宋体"/>
          <w:color w:val="auto"/>
          <w:sz w:val="28"/>
          <w:highlight w:val="none"/>
        </w:rPr>
        <w:t>日，检测报告见附件。</w:t>
      </w:r>
    </w:p>
    <w:p w14:paraId="6D5FAA34">
      <w:pPr>
        <w:pStyle w:val="16"/>
        <w:keepLines w:val="0"/>
        <w:widowControl w:val="0"/>
        <w:shd w:val="clear"/>
        <w:wordWrap/>
        <w:overflowPunct/>
        <w:topLinePunct w:val="0"/>
        <w:bidi w:val="0"/>
        <w:adjustRightInd w:val="0"/>
        <w:snapToGrid w:val="0"/>
        <w:spacing w:line="360" w:lineRule="auto"/>
        <w:ind w:firstLine="560"/>
        <w:rPr>
          <w:rFonts w:hint="default" w:ascii="宋体"/>
          <w:color w:val="auto"/>
          <w:highlight w:val="none"/>
          <w:shd w:val="clear" w:fill="FFC000"/>
          <w:lang w:val="en-US"/>
        </w:rPr>
      </w:pPr>
      <w:r>
        <w:rPr>
          <w:rFonts w:hint="eastAsia" w:ascii="宋体"/>
          <w:color w:val="auto"/>
          <w:highlight w:val="none"/>
          <w:shd w:val="clear"/>
          <w:lang w:val="en-US" w:eastAsia="zh-CN"/>
        </w:rPr>
        <w:t>山东方达校准检测有限公司对该站的可燃气体探测器进行了相关校准，出具了合格的《校准证书》，证书编号分别为：（FD-2502283158-034）、（FD-2502283158-035）、（FD-2502283158-036）。校准日期为2025年02月28日。</w:t>
      </w:r>
    </w:p>
    <w:p w14:paraId="7BD46BD2">
      <w:pPr>
        <w:pStyle w:val="16"/>
        <w:widowControl w:val="0"/>
        <w:adjustRightInd w:val="0"/>
        <w:snapToGrid w:val="0"/>
        <w:spacing w:line="360" w:lineRule="auto"/>
        <w:ind w:firstLine="560"/>
        <w:rPr>
          <w:rFonts w:hint="eastAsia" w:ascii="宋体"/>
          <w:color w:val="auto"/>
          <w:highlight w:val="none"/>
        </w:rPr>
      </w:pPr>
    </w:p>
    <w:p w14:paraId="01658D4D">
      <w:pPr>
        <w:pStyle w:val="16"/>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w:t>
      </w:r>
      <w:r>
        <w:rPr>
          <w:rFonts w:hint="eastAsia" w:ascii="宋体"/>
          <w:color w:val="auto"/>
          <w:highlight w:val="none"/>
          <w:lang w:val="en-US" w:eastAsia="zh-CN"/>
        </w:rPr>
        <w:t>泰山财产</w:t>
      </w:r>
      <w:r>
        <w:rPr>
          <w:rFonts w:hint="eastAsia" w:ascii="宋体"/>
          <w:color w:val="auto"/>
          <w:highlight w:val="none"/>
        </w:rPr>
        <w:t>保险股份有限公司投保安全生产责任保险，保险期限2024年</w:t>
      </w:r>
      <w:r>
        <w:rPr>
          <w:rFonts w:hint="eastAsia" w:ascii="宋体"/>
          <w:color w:val="auto"/>
          <w:highlight w:val="none"/>
          <w:lang w:val="en-US" w:eastAsia="zh-CN"/>
        </w:rPr>
        <w:t>09</w:t>
      </w:r>
      <w:r>
        <w:rPr>
          <w:rFonts w:hint="eastAsia" w:ascii="宋体"/>
          <w:color w:val="auto"/>
          <w:highlight w:val="none"/>
        </w:rPr>
        <w:t>月</w:t>
      </w:r>
      <w:r>
        <w:rPr>
          <w:rFonts w:hint="eastAsia" w:ascii="宋体"/>
          <w:color w:val="auto"/>
          <w:highlight w:val="none"/>
          <w:lang w:val="en-US" w:eastAsia="zh-CN"/>
        </w:rPr>
        <w:t>19</w:t>
      </w:r>
      <w:r>
        <w:rPr>
          <w:rFonts w:hint="eastAsia" w:ascii="宋体"/>
          <w:color w:val="auto"/>
          <w:highlight w:val="none"/>
        </w:rPr>
        <w:t>日至2025年</w:t>
      </w:r>
      <w:r>
        <w:rPr>
          <w:rFonts w:hint="eastAsia" w:ascii="宋体"/>
          <w:color w:val="auto"/>
          <w:highlight w:val="none"/>
          <w:lang w:val="en-US" w:eastAsia="zh-CN"/>
        </w:rPr>
        <w:t>09</w:t>
      </w:r>
      <w:r>
        <w:rPr>
          <w:rFonts w:hint="eastAsia" w:ascii="宋体"/>
          <w:color w:val="auto"/>
          <w:highlight w:val="none"/>
        </w:rPr>
        <w:t>月</w:t>
      </w:r>
      <w:r>
        <w:rPr>
          <w:rFonts w:hint="eastAsia" w:ascii="宋体"/>
          <w:color w:val="auto"/>
          <w:highlight w:val="none"/>
          <w:lang w:val="en-US" w:eastAsia="zh-CN"/>
        </w:rPr>
        <w:t>18</w:t>
      </w:r>
      <w:r>
        <w:rPr>
          <w:rFonts w:hint="eastAsia" w:ascii="宋体"/>
          <w:color w:val="auto"/>
          <w:highlight w:val="none"/>
        </w:rPr>
        <w:t>日，详见附件。</w:t>
      </w:r>
    </w:p>
    <w:p w14:paraId="4DDBD359">
      <w:pPr>
        <w:pStyle w:val="16"/>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4E2A52B3">
      <w:pPr>
        <w:pStyle w:val="16"/>
        <w:widowControl w:val="0"/>
        <w:adjustRightInd w:val="0"/>
        <w:snapToGrid w:val="0"/>
        <w:spacing w:line="360" w:lineRule="auto"/>
        <w:ind w:firstLine="560"/>
        <w:rPr>
          <w:rFonts w:hint="eastAsia" w:ascii="宋体" w:hAnsi="宋体" w:eastAsia="宋体" w:cs="宋体"/>
          <w:color w:val="auto"/>
          <w:highlight w:val="none"/>
        </w:rPr>
      </w:pPr>
      <w:r>
        <w:rPr>
          <w:rFonts w:hint="eastAsia" w:ascii="宋体" w:hAnsi="宋体" w:eastAsia="宋体" w:cs="宋体"/>
          <w:color w:val="auto"/>
          <w:highlight w:val="none"/>
        </w:rPr>
        <w:t>该站各项安全管理制度健全，有生产经营单位生产事故应急预案，并定期进行应急救援演练。该加油站消防器材配备齐全，加油站配备了35kg推车式干粉灭火器</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具，</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kg手提式干粉灭火器</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具，</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kg手提式干粉灭火器</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具，CO</w:t>
      </w:r>
      <w:r>
        <w:rPr>
          <w:rFonts w:hint="eastAsia" w:ascii="宋体" w:hAnsi="宋体" w:eastAsia="宋体" w:cs="宋体"/>
          <w:color w:val="auto"/>
          <w:highlight w:val="none"/>
          <w:vertAlign w:val="subscript"/>
        </w:rPr>
        <w:t>2</w:t>
      </w:r>
      <w:r>
        <w:rPr>
          <w:rFonts w:hint="eastAsia" w:ascii="宋体" w:hAnsi="宋体" w:eastAsia="宋体" w:cs="宋体"/>
          <w:color w:val="auto"/>
          <w:highlight w:val="none"/>
        </w:rPr>
        <w:t>灭火器</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具，灭火毯</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块，消防锨</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把，消防桶2个，消防沙池2m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p>
    <w:p w14:paraId="09AAF1AF">
      <w:pPr>
        <w:pStyle w:val="17"/>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16" w:name="_Toc102634406"/>
      <w:bookmarkStart w:id="17" w:name="_Toc1454"/>
      <w:bookmarkStart w:id="18" w:name="_Toc102633906"/>
      <w:bookmarkStart w:id="19" w:name="_Toc102633980"/>
      <w:bookmarkStart w:id="20" w:name="_Toc102634255"/>
      <w:r>
        <w:rPr>
          <w:rFonts w:hint="eastAsia"/>
          <w:color w:val="auto"/>
          <w:highlight w:val="none"/>
        </w:rPr>
        <w:t>第四章 评价单元划分与评价方法选择</w:t>
      </w:r>
      <w:bookmarkEnd w:id="16"/>
      <w:bookmarkEnd w:id="17"/>
      <w:bookmarkEnd w:id="18"/>
      <w:bookmarkEnd w:id="19"/>
      <w:bookmarkEnd w:id="20"/>
    </w:p>
    <w:p w14:paraId="51415DE2">
      <w:pPr>
        <w:pStyle w:val="4"/>
        <w:spacing w:before="312" w:beforeLines="100" w:after="312" w:afterLines="100" w:line="360" w:lineRule="auto"/>
        <w:ind w:firstLine="0"/>
        <w:rPr>
          <w:rFonts w:hint="eastAsia"/>
          <w:color w:val="auto"/>
          <w:highlight w:val="none"/>
        </w:rPr>
      </w:pPr>
      <w:bookmarkStart w:id="21" w:name="_Toc7829"/>
      <w:bookmarkStart w:id="22" w:name="_Toc238007574"/>
      <w:bookmarkStart w:id="23" w:name="_Toc102634256"/>
      <w:bookmarkStart w:id="24" w:name="_Toc198026273"/>
      <w:bookmarkStart w:id="25" w:name="_Toc102633981"/>
      <w:bookmarkStart w:id="26" w:name="_Toc272364536"/>
      <w:bookmarkStart w:id="27" w:name="_Toc12643"/>
      <w:bookmarkStart w:id="28" w:name="_Toc15033754"/>
      <w:bookmarkStart w:id="29" w:name="_Toc23543"/>
      <w:bookmarkStart w:id="30" w:name="_Toc192907201"/>
      <w:bookmarkStart w:id="31" w:name="_Toc102633907"/>
      <w:bookmarkStart w:id="32" w:name="_Toc102634407"/>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4B41EC4B">
      <w:pPr>
        <w:pStyle w:val="16"/>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77F2A204">
      <w:pPr>
        <w:pStyle w:val="21"/>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358DABCA">
      <w:pPr>
        <w:pStyle w:val="16"/>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2BA94645">
      <w:pPr>
        <w:pStyle w:val="16"/>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642B6486">
      <w:pPr>
        <w:pStyle w:val="21"/>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20BE2DD0">
      <w:pPr>
        <w:pStyle w:val="16"/>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557016EC">
      <w:pPr>
        <w:pStyle w:val="16"/>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77D23007">
      <w:pPr>
        <w:pStyle w:val="16"/>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lang w:val="en-US" w:eastAsia="zh-CN"/>
        </w:rPr>
        <w:t>四</w:t>
      </w:r>
      <w:r>
        <w:rPr>
          <w:rFonts w:ascii="宋体"/>
          <w:color w:val="auto"/>
          <w:highlight w:val="none"/>
        </w:rPr>
        <w:t>个单元：</w:t>
      </w:r>
    </w:p>
    <w:p w14:paraId="4431CAA4">
      <w:pPr>
        <w:pStyle w:val="16"/>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00BA3044">
      <w:pPr>
        <w:pStyle w:val="16"/>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3AD72EB9">
      <w:pPr>
        <w:pStyle w:val="16"/>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333F03DA">
      <w:pPr>
        <w:pStyle w:val="16"/>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2BAA7055">
      <w:pPr>
        <w:pStyle w:val="4"/>
        <w:spacing w:before="312" w:beforeLines="100" w:after="312" w:afterLines="100" w:line="360" w:lineRule="auto"/>
        <w:ind w:firstLine="0"/>
        <w:rPr>
          <w:rFonts w:hint="eastAsia"/>
          <w:color w:val="auto"/>
          <w:highlight w:val="none"/>
        </w:rPr>
      </w:pPr>
      <w:bookmarkStart w:id="35" w:name="_Toc102634408"/>
      <w:bookmarkStart w:id="36" w:name="_Toc102633982"/>
      <w:bookmarkStart w:id="37" w:name="_Toc22810"/>
      <w:bookmarkStart w:id="38" w:name="_Toc102633908"/>
      <w:bookmarkStart w:id="39" w:name="_Toc102634259"/>
    </w:p>
    <w:p w14:paraId="5ED8E01D">
      <w:pPr>
        <w:pStyle w:val="4"/>
        <w:spacing w:before="312" w:beforeLines="100" w:after="312" w:afterLines="100" w:line="360" w:lineRule="auto"/>
        <w:ind w:firstLine="0"/>
        <w:rPr>
          <w:rFonts w:hint="eastAsia"/>
          <w:color w:val="auto"/>
          <w:highlight w:val="none"/>
        </w:rPr>
      </w:pPr>
      <w:r>
        <w:rPr>
          <w:rFonts w:hint="eastAsia"/>
          <w:color w:val="auto"/>
          <w:highlight w:val="none"/>
        </w:rPr>
        <w:t>第二节 评价方法的选择</w:t>
      </w:r>
      <w:bookmarkEnd w:id="35"/>
      <w:bookmarkEnd w:id="36"/>
      <w:bookmarkEnd w:id="37"/>
      <w:bookmarkEnd w:id="38"/>
      <w:bookmarkEnd w:id="39"/>
    </w:p>
    <w:p w14:paraId="0A232F89">
      <w:pPr>
        <w:pStyle w:val="16"/>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03897E52">
      <w:pPr>
        <w:pStyle w:val="16"/>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0D242047">
      <w:pPr>
        <w:pStyle w:val="16"/>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lang w:eastAsia="zh-CN"/>
        </w:rPr>
        <w:t>肥城市正达石油制品有限公司</w:t>
      </w:r>
      <w:r>
        <w:rPr>
          <w:rFonts w:ascii="宋体"/>
          <w:color w:val="auto"/>
          <w:highlight w:val="none"/>
        </w:rPr>
        <w:t>的具体情况，选用安全检查表、事故树法及危险度评价法对加油站进行评价。具体应用如下表所示：</w:t>
      </w:r>
    </w:p>
    <w:p w14:paraId="75E3BBFD">
      <w:pPr>
        <w:pStyle w:val="18"/>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4D0C2C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EDC97CF">
            <w:pPr>
              <w:pStyle w:val="19"/>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04706313">
            <w:pPr>
              <w:pStyle w:val="19"/>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40E3AD13">
            <w:pPr>
              <w:pStyle w:val="19"/>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23FE8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2D14E29B">
            <w:pPr>
              <w:pStyle w:val="19"/>
              <w:widowControl w:val="0"/>
              <w:adjustRightInd w:val="0"/>
              <w:snapToGrid w:val="0"/>
              <w:spacing w:line="360" w:lineRule="auto"/>
              <w:rPr>
                <w:rFonts w:ascii="宋体"/>
                <w:b/>
                <w:color w:val="auto"/>
                <w:highlight w:val="none"/>
                <w:lang w:val="en-GB"/>
              </w:rPr>
            </w:pPr>
          </w:p>
        </w:tc>
        <w:tc>
          <w:tcPr>
            <w:tcW w:w="1285" w:type="pct"/>
            <w:vMerge w:val="continue"/>
            <w:vAlign w:val="center"/>
          </w:tcPr>
          <w:p w14:paraId="05798CB7">
            <w:pPr>
              <w:pStyle w:val="19"/>
              <w:widowControl w:val="0"/>
              <w:adjustRightInd w:val="0"/>
              <w:snapToGrid w:val="0"/>
              <w:spacing w:line="360" w:lineRule="auto"/>
              <w:rPr>
                <w:rFonts w:ascii="宋体"/>
                <w:b/>
                <w:color w:val="auto"/>
                <w:highlight w:val="none"/>
              </w:rPr>
            </w:pPr>
          </w:p>
        </w:tc>
        <w:tc>
          <w:tcPr>
            <w:tcW w:w="1196" w:type="pct"/>
            <w:vAlign w:val="center"/>
          </w:tcPr>
          <w:p w14:paraId="527F1016">
            <w:pPr>
              <w:pStyle w:val="19"/>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B5FA69D">
            <w:pPr>
              <w:pStyle w:val="19"/>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3524AAEE">
            <w:pPr>
              <w:pStyle w:val="19"/>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5DB8F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67BBAC9">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93131CA">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77C31057">
            <w:pPr>
              <w:pStyle w:val="19"/>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783AD69B">
            <w:pPr>
              <w:pStyle w:val="19"/>
              <w:widowControl w:val="0"/>
              <w:adjustRightInd w:val="0"/>
              <w:snapToGrid w:val="0"/>
              <w:spacing w:line="360" w:lineRule="auto"/>
              <w:rPr>
                <w:rFonts w:ascii="宋体"/>
                <w:color w:val="auto"/>
                <w:highlight w:val="none"/>
              </w:rPr>
            </w:pPr>
          </w:p>
        </w:tc>
        <w:tc>
          <w:tcPr>
            <w:tcW w:w="972" w:type="pct"/>
            <w:vAlign w:val="center"/>
          </w:tcPr>
          <w:p w14:paraId="6C041CD5">
            <w:pPr>
              <w:pStyle w:val="19"/>
              <w:widowControl w:val="0"/>
              <w:adjustRightInd w:val="0"/>
              <w:snapToGrid w:val="0"/>
              <w:spacing w:line="360" w:lineRule="auto"/>
              <w:rPr>
                <w:rFonts w:ascii="宋体"/>
                <w:color w:val="auto"/>
                <w:highlight w:val="none"/>
              </w:rPr>
            </w:pPr>
          </w:p>
        </w:tc>
      </w:tr>
      <w:tr w14:paraId="1AA76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8486380">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7543B9F8">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0FF0528B">
            <w:pPr>
              <w:pStyle w:val="19"/>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392202FA">
            <w:pPr>
              <w:pStyle w:val="19"/>
              <w:widowControl w:val="0"/>
              <w:adjustRightInd w:val="0"/>
              <w:snapToGrid w:val="0"/>
              <w:spacing w:line="360" w:lineRule="auto"/>
              <w:rPr>
                <w:rFonts w:ascii="宋体"/>
                <w:color w:val="auto"/>
                <w:highlight w:val="none"/>
              </w:rPr>
            </w:pPr>
          </w:p>
        </w:tc>
        <w:tc>
          <w:tcPr>
            <w:tcW w:w="972" w:type="pct"/>
            <w:vAlign w:val="center"/>
          </w:tcPr>
          <w:p w14:paraId="4EBC1934">
            <w:pPr>
              <w:pStyle w:val="19"/>
              <w:widowControl w:val="0"/>
              <w:adjustRightInd w:val="0"/>
              <w:snapToGrid w:val="0"/>
              <w:spacing w:line="360" w:lineRule="auto"/>
              <w:rPr>
                <w:rFonts w:ascii="宋体"/>
                <w:color w:val="auto"/>
                <w:highlight w:val="none"/>
              </w:rPr>
            </w:pPr>
          </w:p>
        </w:tc>
      </w:tr>
      <w:tr w14:paraId="25389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B202A82">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3EBAC6F4">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06743779">
            <w:pPr>
              <w:pStyle w:val="19"/>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0FBF109D">
            <w:pPr>
              <w:pStyle w:val="19"/>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20398001">
            <w:pPr>
              <w:pStyle w:val="19"/>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5A527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1CC8760">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07802EBE">
            <w:pPr>
              <w:pStyle w:val="19"/>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4D0DB70">
            <w:pPr>
              <w:pStyle w:val="19"/>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5B88395">
            <w:pPr>
              <w:pStyle w:val="19"/>
              <w:widowControl w:val="0"/>
              <w:adjustRightInd w:val="0"/>
              <w:snapToGrid w:val="0"/>
              <w:spacing w:line="360" w:lineRule="auto"/>
              <w:rPr>
                <w:rFonts w:ascii="宋体"/>
                <w:color w:val="auto"/>
                <w:highlight w:val="none"/>
              </w:rPr>
            </w:pPr>
          </w:p>
        </w:tc>
        <w:tc>
          <w:tcPr>
            <w:tcW w:w="972" w:type="pct"/>
            <w:vAlign w:val="center"/>
          </w:tcPr>
          <w:p w14:paraId="4AA642D4">
            <w:pPr>
              <w:pStyle w:val="19"/>
              <w:widowControl w:val="0"/>
              <w:adjustRightInd w:val="0"/>
              <w:snapToGrid w:val="0"/>
              <w:spacing w:line="360" w:lineRule="auto"/>
              <w:rPr>
                <w:rFonts w:ascii="宋体"/>
                <w:color w:val="auto"/>
                <w:highlight w:val="none"/>
              </w:rPr>
            </w:pPr>
          </w:p>
        </w:tc>
      </w:tr>
    </w:tbl>
    <w:p w14:paraId="79421AD9">
      <w:pPr>
        <w:pStyle w:val="16"/>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5DD2C85B">
      <w:pPr>
        <w:pStyle w:val="20"/>
        <w:widowControl w:val="0"/>
        <w:snapToGrid w:val="0"/>
        <w:spacing w:line="360" w:lineRule="auto"/>
        <w:ind w:firstLine="872" w:firstLineChars="400"/>
        <w:rPr>
          <w:color w:val="auto"/>
          <w:highlight w:val="none"/>
        </w:rPr>
      </w:pPr>
    </w:p>
    <w:p w14:paraId="7FB270F3">
      <w:pPr>
        <w:pStyle w:val="17"/>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40" w:name="_Toc7871"/>
      <w:r>
        <w:rPr>
          <w:rFonts w:hint="eastAsia"/>
          <w:color w:val="auto"/>
          <w:highlight w:val="none"/>
        </w:rPr>
        <w:t>第六章  安全对策措施及建议</w:t>
      </w:r>
      <w:bookmarkEnd w:id="40"/>
    </w:p>
    <w:p w14:paraId="1D86FCDC">
      <w:pPr>
        <w:pStyle w:val="4"/>
        <w:spacing w:before="312" w:beforeLines="100" w:after="312" w:afterLines="100" w:line="360" w:lineRule="auto"/>
        <w:ind w:firstLine="0"/>
        <w:rPr>
          <w:rFonts w:hint="eastAsia"/>
          <w:color w:val="auto"/>
          <w:highlight w:val="none"/>
        </w:rPr>
      </w:pPr>
      <w:bookmarkStart w:id="41" w:name="_Toc339456079"/>
      <w:bookmarkStart w:id="42" w:name="_Toc225046264"/>
      <w:bookmarkStart w:id="43" w:name="_Toc102634415"/>
      <w:bookmarkStart w:id="44" w:name="_Toc4961"/>
      <w:bookmarkStart w:id="45" w:name="_Toc102633915"/>
      <w:bookmarkStart w:id="46" w:name="_Toc102633989"/>
      <w:bookmarkStart w:id="47" w:name="_Toc348877039"/>
      <w:bookmarkStart w:id="48" w:name="_Toc102634277"/>
      <w:bookmarkStart w:id="49" w:name="_Toc242065302"/>
      <w:bookmarkStart w:id="50" w:name="_Toc2607"/>
      <w:bookmarkStart w:id="51" w:name="_Toc15033762"/>
      <w:r>
        <w:rPr>
          <w:rFonts w:hint="eastAsia"/>
          <w:color w:val="auto"/>
          <w:highlight w:val="none"/>
        </w:rPr>
        <w:t xml:space="preserve">第一节 </w:t>
      </w:r>
      <w:bookmarkEnd w:id="41"/>
      <w:bookmarkEnd w:id="42"/>
      <w:r>
        <w:rPr>
          <w:rFonts w:hint="eastAsia"/>
          <w:color w:val="auto"/>
          <w:highlight w:val="none"/>
        </w:rPr>
        <w:t>存在的问题及整改建议</w:t>
      </w:r>
      <w:bookmarkEnd w:id="43"/>
      <w:bookmarkEnd w:id="44"/>
      <w:bookmarkEnd w:id="45"/>
      <w:bookmarkEnd w:id="46"/>
      <w:bookmarkEnd w:id="47"/>
      <w:bookmarkEnd w:id="48"/>
      <w:bookmarkEnd w:id="49"/>
      <w:bookmarkEnd w:id="50"/>
      <w:bookmarkEnd w:id="51"/>
    </w:p>
    <w:p w14:paraId="35CFD174">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2" w:name="_Toc49590281"/>
      <w:bookmarkStart w:id="53" w:name="_Toc15033763"/>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2"/>
      <w:bookmarkEnd w:id="53"/>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44D481F8">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56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77"/>
        <w:gridCol w:w="4048"/>
        <w:gridCol w:w="4740"/>
      </w:tblGrid>
      <w:tr w14:paraId="600F17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777" w:type="dxa"/>
            <w:vAlign w:val="center"/>
          </w:tcPr>
          <w:p w14:paraId="19101670">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4048" w:type="dxa"/>
            <w:vAlign w:val="center"/>
          </w:tcPr>
          <w:p w14:paraId="2ECD6B89">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6E47834B">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5510A5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77" w:type="dxa"/>
            <w:vAlign w:val="center"/>
          </w:tcPr>
          <w:p w14:paraId="4ADA0741">
            <w:pPr>
              <w:widowControl/>
              <w:tabs>
                <w:tab w:val="left" w:pos="6120"/>
              </w:tabs>
              <w:adjustRightInd w:val="0"/>
              <w:spacing w:before="31" w:beforeLines="10" w:after="31" w:afterLines="10" w:line="320" w:lineRule="exact"/>
              <w:jc w:val="center"/>
              <w:textAlignment w:val="baseline"/>
              <w:rPr>
                <w:rFonts w:hint="eastAsia" w:ascii="宋体" w:hAnsi="宋体" w:eastAsia="宋体"/>
                <w:bCs/>
                <w:color w:val="auto"/>
                <w:kern w:val="0"/>
                <w:position w:val="2"/>
                <w:highlight w:val="none"/>
                <w:u w:color="000000"/>
                <w:lang w:eastAsia="zh-CN"/>
              </w:rPr>
            </w:pPr>
            <w:r>
              <w:rPr>
                <w:rFonts w:hint="eastAsia" w:ascii="宋体" w:hAnsi="宋体"/>
                <w:bCs/>
                <w:color w:val="auto"/>
                <w:kern w:val="0"/>
                <w:position w:val="2"/>
                <w:highlight w:val="none"/>
                <w:u w:color="000000"/>
                <w:lang w:val="en-US" w:eastAsia="zh-CN"/>
              </w:rPr>
              <w:t>1</w:t>
            </w:r>
          </w:p>
        </w:tc>
        <w:tc>
          <w:tcPr>
            <w:tcW w:w="4048" w:type="dxa"/>
            <w:shd w:val="clear" w:color="auto" w:fill="auto"/>
            <w:vAlign w:val="center"/>
          </w:tcPr>
          <w:p w14:paraId="2C8E079D">
            <w:pP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pacing w:val="6"/>
                <w:highlight w:val="none"/>
                <w:lang w:val="en-US" w:eastAsia="zh-CN"/>
              </w:rPr>
              <w:t>油罐操作井内管道介质流向标识不全。</w:t>
            </w:r>
          </w:p>
        </w:tc>
        <w:tc>
          <w:tcPr>
            <w:tcW w:w="4740" w:type="dxa"/>
            <w:shd w:val="clear" w:color="auto" w:fill="auto"/>
            <w:vAlign w:val="center"/>
          </w:tcPr>
          <w:p w14:paraId="482702E8">
            <w:pPr>
              <w:rPr>
                <w:rFonts w:hint="default" w:ascii="Times New Roman" w:hAnsi="Times New Roman" w:eastAsia="宋体" w:cs="Times New Roman"/>
                <w:color w:val="auto"/>
                <w:kern w:val="2"/>
                <w:sz w:val="21"/>
                <w:szCs w:val="21"/>
                <w:highlight w:val="none"/>
                <w:u w:color="000000"/>
                <w:lang w:val="en-US" w:eastAsia="zh-CN" w:bidi="ar-SA"/>
              </w:rPr>
            </w:pPr>
            <w:r>
              <w:rPr>
                <w:rFonts w:hint="eastAsia" w:ascii="宋体" w:hAnsi="宋体"/>
                <w:color w:val="auto"/>
                <w:spacing w:val="6"/>
                <w:highlight w:val="none"/>
                <w:lang w:val="en-US" w:eastAsia="zh-CN"/>
              </w:rPr>
              <w:t>油罐操作井内全部管道应设介质流向标识。</w:t>
            </w:r>
          </w:p>
        </w:tc>
      </w:tr>
    </w:tbl>
    <w:p w14:paraId="19CD696F">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0458A2BD">
      <w:pPr>
        <w:widowControl/>
        <w:spacing w:line="360" w:lineRule="auto"/>
        <w:jc w:val="center"/>
        <w:textAlignment w:val="baseline"/>
        <w:rPr>
          <w:rFonts w:hint="eastAsia" w:ascii="黑体" w:hAnsi="黑体" w:eastAsia="黑体" w:cs="黑体"/>
          <w:color w:val="auto"/>
          <w:kern w:val="0"/>
          <w:sz w:val="24"/>
          <w:szCs w:val="24"/>
          <w:highlight w:val="none"/>
          <w:u w:color="000000"/>
        </w:rPr>
      </w:pPr>
    </w:p>
    <w:p w14:paraId="4647CACE">
      <w:pPr>
        <w:pStyle w:val="2"/>
        <w:rPr>
          <w:rFonts w:hint="default" w:ascii="黑体" w:hAnsi="黑体" w:eastAsia="黑体" w:cs="黑体"/>
          <w:color w:val="auto"/>
          <w:kern w:val="0"/>
          <w:sz w:val="24"/>
          <w:szCs w:val="24"/>
          <w:highlight w:val="none"/>
          <w:u w:color="000000"/>
          <w:lang w:val="en-US" w:eastAsia="zh-CN"/>
        </w:rPr>
      </w:pPr>
    </w:p>
    <w:p w14:paraId="27848BCD">
      <w:pPr>
        <w:pStyle w:val="2"/>
        <w:rPr>
          <w:rFonts w:hint="default" w:ascii="黑体" w:hAnsi="黑体" w:eastAsia="黑体" w:cs="黑体"/>
          <w:color w:val="auto"/>
          <w:kern w:val="0"/>
          <w:sz w:val="24"/>
          <w:szCs w:val="24"/>
          <w:highlight w:val="none"/>
          <w:u w:color="000000"/>
          <w:lang w:val="en-US" w:eastAsia="zh-CN"/>
        </w:rPr>
      </w:pPr>
    </w:p>
    <w:p w14:paraId="687503DE">
      <w:pPr>
        <w:pStyle w:val="2"/>
        <w:rPr>
          <w:rFonts w:hint="default" w:ascii="黑体" w:hAnsi="黑体" w:eastAsia="黑体" w:cs="黑体"/>
          <w:color w:val="auto"/>
          <w:kern w:val="0"/>
          <w:sz w:val="24"/>
          <w:szCs w:val="24"/>
          <w:highlight w:val="none"/>
          <w:u w:color="000000"/>
          <w:lang w:val="en-US" w:eastAsia="zh-CN"/>
        </w:rPr>
      </w:pPr>
    </w:p>
    <w:p w14:paraId="3CC0DCCB">
      <w:pPr>
        <w:pStyle w:val="2"/>
        <w:rPr>
          <w:rFonts w:hint="default" w:ascii="黑体" w:hAnsi="黑体" w:eastAsia="黑体" w:cs="黑体"/>
          <w:color w:val="auto"/>
          <w:kern w:val="0"/>
          <w:sz w:val="24"/>
          <w:szCs w:val="24"/>
          <w:highlight w:val="none"/>
          <w:u w:color="000000"/>
          <w:lang w:val="en-US" w:eastAsia="zh-CN"/>
        </w:rPr>
      </w:pPr>
    </w:p>
    <w:p w14:paraId="44A672CE">
      <w:pPr>
        <w:pStyle w:val="2"/>
        <w:rPr>
          <w:rFonts w:hint="default" w:ascii="黑体" w:hAnsi="黑体" w:eastAsia="黑体" w:cs="黑体"/>
          <w:color w:val="auto"/>
          <w:kern w:val="0"/>
          <w:sz w:val="24"/>
          <w:szCs w:val="24"/>
          <w:highlight w:val="none"/>
          <w:u w:color="000000"/>
          <w:lang w:val="en-US" w:eastAsia="zh-CN"/>
        </w:rPr>
      </w:pPr>
    </w:p>
    <w:p w14:paraId="18FFF2B0">
      <w:pPr>
        <w:pStyle w:val="2"/>
        <w:rPr>
          <w:rFonts w:hint="default" w:ascii="黑体" w:hAnsi="黑体" w:eastAsia="黑体" w:cs="黑体"/>
          <w:color w:val="auto"/>
          <w:kern w:val="0"/>
          <w:sz w:val="24"/>
          <w:szCs w:val="24"/>
          <w:highlight w:val="none"/>
          <w:u w:color="000000"/>
          <w:lang w:val="en-US" w:eastAsia="zh-CN"/>
        </w:rPr>
      </w:pPr>
    </w:p>
    <w:p w14:paraId="7482DF43">
      <w:pPr>
        <w:pStyle w:val="2"/>
        <w:rPr>
          <w:rFonts w:hint="default" w:ascii="黑体" w:hAnsi="黑体" w:eastAsia="黑体" w:cs="黑体"/>
          <w:color w:val="auto"/>
          <w:kern w:val="0"/>
          <w:sz w:val="24"/>
          <w:szCs w:val="24"/>
          <w:highlight w:val="none"/>
          <w:u w:color="000000"/>
          <w:lang w:val="en-US" w:eastAsia="zh-CN"/>
        </w:rPr>
      </w:pPr>
    </w:p>
    <w:p w14:paraId="22FD58F2">
      <w:pPr>
        <w:pStyle w:val="2"/>
        <w:rPr>
          <w:rFonts w:hint="default" w:ascii="黑体" w:hAnsi="黑体" w:eastAsia="黑体" w:cs="黑体"/>
          <w:color w:val="auto"/>
          <w:kern w:val="0"/>
          <w:sz w:val="24"/>
          <w:szCs w:val="24"/>
          <w:highlight w:val="none"/>
          <w:u w:color="000000"/>
          <w:lang w:val="en-US" w:eastAsia="zh-CN"/>
        </w:rPr>
      </w:pPr>
    </w:p>
    <w:p w14:paraId="4843F53D">
      <w:pPr>
        <w:pStyle w:val="2"/>
        <w:rPr>
          <w:rFonts w:hint="default" w:ascii="黑体" w:hAnsi="黑体" w:eastAsia="黑体" w:cs="黑体"/>
          <w:color w:val="auto"/>
          <w:kern w:val="0"/>
          <w:sz w:val="24"/>
          <w:szCs w:val="24"/>
          <w:highlight w:val="none"/>
          <w:u w:color="000000"/>
          <w:lang w:val="en-US" w:eastAsia="zh-CN"/>
        </w:rPr>
      </w:pPr>
    </w:p>
    <w:p w14:paraId="6E4EAD20">
      <w:pPr>
        <w:pStyle w:val="2"/>
        <w:rPr>
          <w:rFonts w:hint="default" w:ascii="黑体" w:hAnsi="黑体" w:eastAsia="黑体" w:cs="黑体"/>
          <w:color w:val="auto"/>
          <w:kern w:val="0"/>
          <w:sz w:val="24"/>
          <w:szCs w:val="24"/>
          <w:highlight w:val="none"/>
          <w:u w:color="000000"/>
          <w:lang w:val="en-US" w:eastAsia="zh-CN"/>
        </w:rPr>
      </w:pPr>
    </w:p>
    <w:p w14:paraId="4E7B6BF8">
      <w:pPr>
        <w:pStyle w:val="2"/>
        <w:rPr>
          <w:rFonts w:hint="default" w:ascii="黑体" w:hAnsi="黑体" w:eastAsia="黑体" w:cs="黑体"/>
          <w:color w:val="auto"/>
          <w:kern w:val="0"/>
          <w:sz w:val="24"/>
          <w:szCs w:val="24"/>
          <w:highlight w:val="none"/>
          <w:u w:color="000000"/>
          <w:lang w:val="en-US" w:eastAsia="zh-CN"/>
        </w:rPr>
      </w:pPr>
    </w:p>
    <w:p w14:paraId="41BF8A40">
      <w:pPr>
        <w:pStyle w:val="2"/>
        <w:rPr>
          <w:rFonts w:hint="default" w:ascii="黑体" w:hAnsi="黑体" w:eastAsia="黑体" w:cs="黑体"/>
          <w:color w:val="auto"/>
          <w:kern w:val="0"/>
          <w:sz w:val="24"/>
          <w:szCs w:val="24"/>
          <w:highlight w:val="none"/>
          <w:u w:color="000000"/>
          <w:lang w:val="en-US" w:eastAsia="zh-CN"/>
        </w:rPr>
      </w:pPr>
    </w:p>
    <w:p w14:paraId="71EF8159">
      <w:pPr>
        <w:rPr>
          <w:rFonts w:hint="default" w:ascii="宋体"/>
          <w:color w:val="auto"/>
          <w:kern w:val="0"/>
          <w:sz w:val="28"/>
          <w:szCs w:val="20"/>
          <w:lang w:val="en-US" w:eastAsia="zh-CN"/>
        </w:rPr>
      </w:pPr>
    </w:p>
    <w:p w14:paraId="2FB9DAB1">
      <w:pPr>
        <w:jc w:val="center"/>
        <w:rPr>
          <w:rFonts w:hint="default" w:ascii="黑体" w:hAnsi="黑体" w:eastAsia="黑体" w:cs="黑体"/>
          <w:color w:val="auto"/>
          <w:kern w:val="0"/>
          <w:sz w:val="24"/>
          <w:szCs w:val="24"/>
          <w:highlight w:val="none"/>
          <w:u w:color="000000"/>
          <w:lang w:val="en-US" w:eastAsia="zh-CN"/>
        </w:rPr>
      </w:pPr>
      <w:r>
        <w:rPr>
          <w:rFonts w:hint="eastAsia"/>
          <w:sz w:val="28"/>
          <w:szCs w:val="28"/>
          <w:lang w:val="en-US" w:eastAsia="zh-CN"/>
        </w:rPr>
        <w:drawing>
          <wp:inline distT="0" distB="0" distL="114300" distR="114300">
            <wp:extent cx="2491740" cy="4430395"/>
            <wp:effectExtent l="0" t="0" r="3810" b="8255"/>
            <wp:docPr id="8" name="图片 8" descr="b5101d4248fef1134ab0e698a4a3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5101d4248fef1134ab0e698a4a37c3"/>
                    <pic:cNvPicPr>
                      <a:picLocks noChangeAspect="1"/>
                    </pic:cNvPicPr>
                  </pic:nvPicPr>
                  <pic:blipFill>
                    <a:blip r:embed="rId4"/>
                    <a:stretch>
                      <a:fillRect/>
                    </a:stretch>
                  </pic:blipFill>
                  <pic:spPr>
                    <a:xfrm>
                      <a:off x="0" y="0"/>
                      <a:ext cx="2491740" cy="4430395"/>
                    </a:xfrm>
                    <a:prstGeom prst="rect">
                      <a:avLst/>
                    </a:prstGeom>
                  </pic:spPr>
                </pic:pic>
              </a:graphicData>
            </a:graphic>
          </wp:inline>
        </w:drawing>
      </w:r>
      <w:r>
        <w:rPr>
          <w:rFonts w:hint="eastAsia"/>
          <w:sz w:val="28"/>
          <w:szCs w:val="28"/>
          <w:lang w:val="en-US" w:eastAsia="zh-CN"/>
        </w:rPr>
        <w:drawing>
          <wp:inline distT="0" distB="0" distL="114300" distR="114300">
            <wp:extent cx="2505075" cy="4454525"/>
            <wp:effectExtent l="0" t="0" r="9525" b="3175"/>
            <wp:docPr id="9" name="图片 9" descr="939e4047563e8be94be17c2580c8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39e4047563e8be94be17c2580c80a9"/>
                    <pic:cNvPicPr>
                      <a:picLocks noChangeAspect="1"/>
                    </pic:cNvPicPr>
                  </pic:nvPicPr>
                  <pic:blipFill>
                    <a:blip r:embed="rId5"/>
                    <a:stretch>
                      <a:fillRect/>
                    </a:stretch>
                  </pic:blipFill>
                  <pic:spPr>
                    <a:xfrm>
                      <a:off x="0" y="0"/>
                      <a:ext cx="2505075" cy="4454525"/>
                    </a:xfrm>
                    <a:prstGeom prst="rect">
                      <a:avLst/>
                    </a:prstGeom>
                  </pic:spPr>
                </pic:pic>
              </a:graphicData>
            </a:graphic>
          </wp:inline>
        </w:drawing>
      </w:r>
      <w:r>
        <w:rPr>
          <w:rFonts w:hint="eastAsia"/>
          <w:sz w:val="28"/>
          <w:szCs w:val="28"/>
          <w:lang w:val="en-US" w:eastAsia="zh-CN"/>
        </w:rPr>
        <w:drawing>
          <wp:inline distT="0" distB="0" distL="114300" distR="114300">
            <wp:extent cx="2534920" cy="3968115"/>
            <wp:effectExtent l="0" t="0" r="17780" b="13335"/>
            <wp:docPr id="10" name="图片 10" descr="fb56969f326359c7aa5c21201fcc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b56969f326359c7aa5c21201fcc2b2"/>
                    <pic:cNvPicPr>
                      <a:picLocks noChangeAspect="1"/>
                    </pic:cNvPicPr>
                  </pic:nvPicPr>
                  <pic:blipFill>
                    <a:blip r:embed="rId6"/>
                    <a:stretch>
                      <a:fillRect/>
                    </a:stretch>
                  </pic:blipFill>
                  <pic:spPr>
                    <a:xfrm>
                      <a:off x="0" y="0"/>
                      <a:ext cx="2534920" cy="3968115"/>
                    </a:xfrm>
                    <a:prstGeom prst="rect">
                      <a:avLst/>
                    </a:prstGeom>
                  </pic:spPr>
                </pic:pic>
              </a:graphicData>
            </a:graphic>
          </wp:inline>
        </w:drawing>
      </w:r>
      <w:r>
        <w:rPr>
          <w:rFonts w:hint="eastAsia"/>
          <w:sz w:val="28"/>
          <w:szCs w:val="28"/>
          <w:lang w:val="en-US" w:eastAsia="zh-CN"/>
        </w:rPr>
        <w:drawing>
          <wp:inline distT="0" distB="0" distL="114300" distR="114300">
            <wp:extent cx="2529205" cy="3894455"/>
            <wp:effectExtent l="0" t="0" r="4445" b="10795"/>
            <wp:docPr id="11" name="图片 11" descr="9ae241d0419e6c30c56786d709f3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e241d0419e6c30c56786d709f353b"/>
                    <pic:cNvPicPr>
                      <a:picLocks noChangeAspect="1"/>
                    </pic:cNvPicPr>
                  </pic:nvPicPr>
                  <pic:blipFill>
                    <a:blip r:embed="rId7"/>
                    <a:stretch>
                      <a:fillRect/>
                    </a:stretch>
                  </pic:blipFill>
                  <pic:spPr>
                    <a:xfrm>
                      <a:off x="0" y="0"/>
                      <a:ext cx="2529205" cy="3894455"/>
                    </a:xfrm>
                    <a:prstGeom prst="rect">
                      <a:avLst/>
                    </a:prstGeom>
                  </pic:spPr>
                </pic:pic>
              </a:graphicData>
            </a:graphic>
          </wp:inline>
        </w:drawing>
      </w:r>
      <w:r>
        <w:rPr>
          <w:rFonts w:hint="eastAsia"/>
          <w:sz w:val="28"/>
          <w:szCs w:val="28"/>
          <w:lang w:val="en-US" w:eastAsia="zh-CN"/>
        </w:rPr>
        <w:drawing>
          <wp:inline distT="0" distB="0" distL="114300" distR="114300">
            <wp:extent cx="2505075" cy="4454525"/>
            <wp:effectExtent l="0" t="0" r="9525" b="3175"/>
            <wp:docPr id="12" name="图片 12" descr="fb64e13093bf43a325f5480ea6ba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b64e13093bf43a325f5480ea6ba661"/>
                    <pic:cNvPicPr>
                      <a:picLocks noChangeAspect="1"/>
                    </pic:cNvPicPr>
                  </pic:nvPicPr>
                  <pic:blipFill>
                    <a:blip r:embed="rId8"/>
                    <a:stretch>
                      <a:fillRect/>
                    </a:stretch>
                  </pic:blipFill>
                  <pic:spPr>
                    <a:xfrm>
                      <a:off x="0" y="0"/>
                      <a:ext cx="2505075" cy="4454525"/>
                    </a:xfrm>
                    <a:prstGeom prst="rect">
                      <a:avLst/>
                    </a:prstGeom>
                  </pic:spPr>
                </pic:pic>
              </a:graphicData>
            </a:graphic>
          </wp:inline>
        </w:drawing>
      </w:r>
      <w:r>
        <w:rPr>
          <w:rFonts w:hint="eastAsia"/>
          <w:sz w:val="28"/>
          <w:szCs w:val="28"/>
          <w:lang w:val="en-US" w:eastAsia="zh-CN"/>
        </w:rPr>
        <w:drawing>
          <wp:inline distT="0" distB="0" distL="114300" distR="114300">
            <wp:extent cx="2487295" cy="4422140"/>
            <wp:effectExtent l="0" t="0" r="8255" b="16510"/>
            <wp:docPr id="13" name="图片 13" descr="3473cc5c6442903d0b29b3ec54d5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473cc5c6442903d0b29b3ec54d5fde"/>
                    <pic:cNvPicPr>
                      <a:picLocks noChangeAspect="1"/>
                    </pic:cNvPicPr>
                  </pic:nvPicPr>
                  <pic:blipFill>
                    <a:blip r:embed="rId9"/>
                    <a:stretch>
                      <a:fillRect/>
                    </a:stretch>
                  </pic:blipFill>
                  <pic:spPr>
                    <a:xfrm>
                      <a:off x="0" y="0"/>
                      <a:ext cx="2487295" cy="4422140"/>
                    </a:xfrm>
                    <a:prstGeom prst="rect">
                      <a:avLst/>
                    </a:prstGeom>
                  </pic:spPr>
                </pic:pic>
              </a:graphicData>
            </a:graphic>
          </wp:inline>
        </w:drawing>
      </w:r>
      <w:bookmarkStart w:id="54" w:name="_GoBack"/>
      <w:bookmarkEnd w:id="54"/>
      <w:r>
        <w:rPr>
          <w:rFonts w:hint="eastAsia"/>
          <w:sz w:val="28"/>
          <w:szCs w:val="28"/>
          <w:lang w:val="en-US" w:eastAsia="zh-CN"/>
        </w:rPr>
        <w:drawing>
          <wp:inline distT="0" distB="0" distL="114300" distR="114300">
            <wp:extent cx="2820670" cy="2115185"/>
            <wp:effectExtent l="0" t="0" r="17780" b="18415"/>
            <wp:docPr id="1" name="图片 1" descr="微信图片_2025021917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219170154"/>
                    <pic:cNvPicPr>
                      <a:picLocks noChangeAspect="1"/>
                    </pic:cNvPicPr>
                  </pic:nvPicPr>
                  <pic:blipFill>
                    <a:blip r:embed="rId10"/>
                    <a:stretch>
                      <a:fillRect/>
                    </a:stretch>
                  </pic:blipFill>
                  <pic:spPr>
                    <a:xfrm>
                      <a:off x="0" y="0"/>
                      <a:ext cx="2820670" cy="2115185"/>
                    </a:xfrm>
                    <a:prstGeom prst="rect">
                      <a:avLst/>
                    </a:prstGeom>
                  </pic:spPr>
                </pic:pic>
              </a:graphicData>
            </a:graphic>
          </wp:inline>
        </w:drawing>
      </w:r>
      <w:r>
        <w:rPr>
          <w:rFonts w:hint="eastAsia"/>
          <w:sz w:val="28"/>
          <w:szCs w:val="28"/>
          <w:lang w:val="en-US" w:eastAsia="zh-CN"/>
        </w:rPr>
        <w:drawing>
          <wp:inline distT="0" distB="0" distL="114300" distR="114300">
            <wp:extent cx="2858770" cy="2143760"/>
            <wp:effectExtent l="0" t="0" r="17780" b="8890"/>
            <wp:docPr id="2" name="图片 2" descr="微信图片_2025022117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21170219"/>
                    <pic:cNvPicPr>
                      <a:picLocks noChangeAspect="1"/>
                    </pic:cNvPicPr>
                  </pic:nvPicPr>
                  <pic:blipFill>
                    <a:blip r:embed="rId11"/>
                    <a:stretch>
                      <a:fillRect/>
                    </a:stretch>
                  </pic:blipFill>
                  <pic:spPr>
                    <a:xfrm>
                      <a:off x="0" y="0"/>
                      <a:ext cx="2858770" cy="2143760"/>
                    </a:xfrm>
                    <a:prstGeom prst="rect">
                      <a:avLst/>
                    </a:prstGeom>
                  </pic:spPr>
                </pic:pic>
              </a:graphicData>
            </a:graphic>
          </wp:inline>
        </w:drawing>
      </w:r>
      <w:r>
        <w:rPr>
          <w:rFonts w:hint="eastAsia"/>
          <w:sz w:val="28"/>
          <w:szCs w:val="28"/>
          <w:lang w:val="en-US" w:eastAsia="zh-CN"/>
        </w:rPr>
        <w:t>现场影像资料</w:t>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2D637A"/>
    <w:rsid w:val="0A5D5908"/>
    <w:rsid w:val="0BD51C61"/>
    <w:rsid w:val="0EDC1223"/>
    <w:rsid w:val="12386C7D"/>
    <w:rsid w:val="13D12EE6"/>
    <w:rsid w:val="153C4810"/>
    <w:rsid w:val="16BC1C2B"/>
    <w:rsid w:val="19436634"/>
    <w:rsid w:val="1C4A2E55"/>
    <w:rsid w:val="1DE92E23"/>
    <w:rsid w:val="1E1E483E"/>
    <w:rsid w:val="1FF73CD4"/>
    <w:rsid w:val="22CB7136"/>
    <w:rsid w:val="284F788D"/>
    <w:rsid w:val="2A9D36CA"/>
    <w:rsid w:val="2E5E68CC"/>
    <w:rsid w:val="2EC41433"/>
    <w:rsid w:val="2F917EEC"/>
    <w:rsid w:val="31297B3A"/>
    <w:rsid w:val="355F439E"/>
    <w:rsid w:val="35CC29B8"/>
    <w:rsid w:val="361E3E5D"/>
    <w:rsid w:val="37A6654A"/>
    <w:rsid w:val="38B36882"/>
    <w:rsid w:val="3BB85D78"/>
    <w:rsid w:val="3C176B62"/>
    <w:rsid w:val="420C1409"/>
    <w:rsid w:val="43CB4C37"/>
    <w:rsid w:val="44F01FC3"/>
    <w:rsid w:val="4706325F"/>
    <w:rsid w:val="47290367"/>
    <w:rsid w:val="48FE4AE5"/>
    <w:rsid w:val="4ECC7680"/>
    <w:rsid w:val="4F5D6EDB"/>
    <w:rsid w:val="4FC82E13"/>
    <w:rsid w:val="537F016A"/>
    <w:rsid w:val="563D798B"/>
    <w:rsid w:val="567C6788"/>
    <w:rsid w:val="579A241E"/>
    <w:rsid w:val="58840D76"/>
    <w:rsid w:val="5A524BA3"/>
    <w:rsid w:val="5C8B1D2D"/>
    <w:rsid w:val="5D511379"/>
    <w:rsid w:val="60FB542C"/>
    <w:rsid w:val="636808F8"/>
    <w:rsid w:val="64FD4259"/>
    <w:rsid w:val="6A640607"/>
    <w:rsid w:val="6AD40467"/>
    <w:rsid w:val="6B3179BA"/>
    <w:rsid w:val="6BF95CAB"/>
    <w:rsid w:val="6C4D48B3"/>
    <w:rsid w:val="6D0669CA"/>
    <w:rsid w:val="6FDF53A7"/>
    <w:rsid w:val="717A11AE"/>
    <w:rsid w:val="72FD2CFB"/>
    <w:rsid w:val="74AE7C8C"/>
    <w:rsid w:val="76511CAD"/>
    <w:rsid w:val="7772596D"/>
    <w:rsid w:val="788E5851"/>
    <w:rsid w:val="7AB02F22"/>
    <w:rsid w:val="7C9C2DAE"/>
    <w:rsid w:val="7D247B86"/>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
    <w:name w:val="111"/>
    <w:basedOn w:val="13"/>
    <w:qFormat/>
    <w:uiPriority w:val="0"/>
    <w:pPr>
      <w:widowControl/>
      <w:spacing w:beforeAutospacing="0" w:afterAutospacing="0"/>
      <w:jc w:val="left"/>
    </w:pPr>
    <w:rPr>
      <w:rFonts w:ascii="宋体" w:hAnsi="宋体" w:eastAsia="宋体" w:cs="宋体"/>
      <w:kern w:val="0"/>
      <w:sz w:val="24"/>
      <w:szCs w:val="24"/>
    </w:rPr>
  </w:style>
  <w:style w:type="paragraph" w:customStyle="1" w:styleId="13">
    <w:name w:val="题目"/>
    <w:basedOn w:val="1"/>
    <w:qFormat/>
    <w:uiPriority w:val="0"/>
    <w:pPr>
      <w:jc w:val="center"/>
      <w:outlineLvl w:val="0"/>
    </w:pPr>
    <w:rPr>
      <w:rFonts w:ascii="黑体" w:hAnsi="黑体" w:eastAsia="黑体"/>
      <w:sz w:val="32"/>
      <w:szCs w:val="32"/>
    </w:rPr>
  </w:style>
  <w:style w:type="paragraph" w:customStyle="1" w:styleId="14">
    <w:name w:val="Table Text"/>
    <w:basedOn w:val="1"/>
    <w:semiHidden/>
    <w:qFormat/>
    <w:uiPriority w:val="0"/>
    <w:rPr>
      <w:rFonts w:ascii="宋体" w:hAnsi="宋体" w:eastAsia="宋体" w:cs="宋体"/>
      <w:sz w:val="20"/>
      <w:szCs w:val="20"/>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7">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8">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9">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0">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1">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2">
    <w:name w:val="表内文字"/>
    <w:basedOn w:val="7"/>
    <w:qFormat/>
    <w:uiPriority w:val="0"/>
    <w:pPr>
      <w:spacing w:line="320" w:lineRule="exact"/>
      <w:jc w:val="center"/>
    </w:pPr>
    <w:rPr>
      <w:rFonts w:ascii="Times New Roman" w:hAnsi="Times New Roman"/>
      <w:kern w:val="2"/>
      <w:sz w:val="21"/>
      <w:szCs w:val="21"/>
      <w:u w:color="000000"/>
    </w:rPr>
  </w:style>
  <w:style w:type="paragraph" w:customStyle="1" w:styleId="23">
    <w:name w:val="5表格内容"/>
    <w:basedOn w:val="24"/>
    <w:qFormat/>
    <w:uiPriority w:val="0"/>
    <w:pPr>
      <w:spacing w:beforeLines="0" w:line="300" w:lineRule="exact"/>
    </w:pPr>
    <w:rPr>
      <w:rFonts w:eastAsia="宋体"/>
      <w:color w:val="auto"/>
      <w:sz w:val="21"/>
      <w:szCs w:val="21"/>
    </w:rPr>
  </w:style>
  <w:style w:type="paragraph" w:customStyle="1" w:styleId="24">
    <w:name w:val="表名"/>
    <w:basedOn w:val="7"/>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2853</Words>
  <Characters>3160</Characters>
  <Lines>0</Lines>
  <Paragraphs>0</Paragraphs>
  <TotalTime>0</TotalTime>
  <ScaleCrop>false</ScaleCrop>
  <LinksUpToDate>false</LinksUpToDate>
  <CharactersWithSpaces>3177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2025-03-26T02:46:15Z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