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w:t>
            </w:r>
            <w:r>
              <w:rPr>
                <w:rFonts w:hint="eastAsia"/>
                <w:color w:val="000000"/>
                <w:szCs w:val="21"/>
                <w:lang w:val="en-US" w:eastAsia="zh-CN"/>
              </w:rPr>
              <w:t>司宁阳第十四</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7B0C04BE">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该加油站现有埋地双层储罐4台，</w:t>
            </w:r>
            <w:r>
              <w:rPr>
                <w:rFonts w:hint="eastAsia"/>
                <w:color w:val="auto"/>
                <w:highlight w:val="none"/>
                <w:lang w:val="en-US" w:eastAsia="zh-CN"/>
              </w:rPr>
              <w:t>共</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乙醇汽油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lang w:val="en-US" w:eastAsia="zh-CN"/>
              </w:rPr>
              <w:t>。</w:t>
            </w:r>
            <w:r>
              <w:rPr>
                <w:color w:val="auto"/>
                <w:highlight w:val="none"/>
              </w:rPr>
              <w:t>设置罩棚一处，</w:t>
            </w:r>
            <w:r>
              <w:rPr>
                <w:rFonts w:hint="eastAsia"/>
                <w:color w:val="auto"/>
                <w:highlight w:val="none"/>
              </w:rPr>
              <w:t>罩棚下设置</w:t>
            </w:r>
            <w:r>
              <w:rPr>
                <w:rFonts w:hint="eastAsia" w:ascii="宋体" w:hAnsi="宋体" w:eastAsia="宋体" w:cs="宋体"/>
                <w:color w:val="auto"/>
                <w:highlight w:val="none"/>
                <w:lang w:val="en-US" w:eastAsia="zh-CN"/>
              </w:rPr>
              <w:t>2</w:t>
            </w:r>
            <w:r>
              <w:rPr>
                <w:rFonts w:hint="eastAsia" w:ascii="宋体" w:hAnsi="宋体" w:eastAsia="宋体" w:cs="宋体"/>
                <w:bCs/>
                <w:color w:val="auto"/>
                <w:highlight w:val="none"/>
              </w:rPr>
              <w:t>台</w:t>
            </w:r>
            <w:r>
              <w:rPr>
                <w:rFonts w:hint="eastAsia" w:ascii="宋体" w:hAnsi="宋体" w:eastAsia="宋体" w:cs="宋体"/>
                <w:bCs/>
                <w:color w:val="auto"/>
                <w:highlight w:val="none"/>
                <w:lang w:val="en-US" w:eastAsia="zh-CN"/>
              </w:rPr>
              <w:t>双</w:t>
            </w:r>
            <w:r>
              <w:rPr>
                <w:rFonts w:hint="eastAsia" w:ascii="宋体" w:hAnsi="宋体" w:eastAsia="宋体" w:cs="宋体"/>
                <w:bCs/>
                <w:color w:val="auto"/>
                <w:highlight w:val="none"/>
              </w:rPr>
              <w:t>枪</w:t>
            </w:r>
            <w:r>
              <w:rPr>
                <w:rFonts w:hint="eastAsia" w:ascii="宋体" w:hAnsi="宋体" w:eastAsia="宋体" w:cs="宋体"/>
                <w:bCs/>
                <w:color w:val="auto"/>
                <w:highlight w:val="none"/>
                <w:lang w:val="en-US" w:eastAsia="zh-CN"/>
              </w:rPr>
              <w:t>加油机（1台92#乙醇汽油，1台柴油</w:t>
            </w:r>
            <w:r>
              <w:rPr>
                <w:rFonts w:hint="eastAsia" w:ascii="宋体" w:hAnsi="宋体" w:eastAsia="宋体" w:cs="宋体"/>
                <w:bCs/>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bCs/>
                <w:color w:val="auto"/>
                <w:highlight w:val="none"/>
              </w:rPr>
              <w:t>台</w:t>
            </w:r>
            <w:r>
              <w:rPr>
                <w:rFonts w:hint="eastAsia" w:ascii="宋体" w:hAnsi="宋体" w:eastAsia="宋体" w:cs="宋体"/>
                <w:bCs/>
                <w:color w:val="auto"/>
                <w:highlight w:val="none"/>
                <w:lang w:val="en-US" w:eastAsia="zh-CN"/>
              </w:rPr>
              <w:t>单</w:t>
            </w:r>
            <w:r>
              <w:rPr>
                <w:rFonts w:hint="eastAsia" w:ascii="宋体" w:hAnsi="宋体" w:eastAsia="宋体" w:cs="宋体"/>
                <w:bCs/>
                <w:color w:val="auto"/>
                <w:highlight w:val="none"/>
              </w:rPr>
              <w:t>枪</w:t>
            </w:r>
            <w:r>
              <w:rPr>
                <w:rFonts w:hint="eastAsia" w:ascii="宋体" w:hAnsi="宋体" w:eastAsia="宋体" w:cs="宋体"/>
                <w:bCs/>
                <w:color w:val="auto"/>
                <w:highlight w:val="none"/>
                <w:lang w:val="en-US" w:eastAsia="zh-CN"/>
              </w:rPr>
              <w:t>加油机（1台95#汽油，1台柴油</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1台撬装尿素溶液加注装置</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8295"/>
      <w:bookmarkStart w:id="1" w:name="_Toc102633969"/>
      <w:bookmarkStart w:id="2" w:name="_Toc102633895"/>
      <w:bookmarkStart w:id="3" w:name="_Toc102634226"/>
      <w:bookmarkStart w:id="4" w:name="_Toc15033742"/>
      <w:bookmarkStart w:id="5" w:name="_Toc102634395"/>
      <w:bookmarkStart w:id="6" w:name="_Toc102633980"/>
      <w:bookmarkStart w:id="7" w:name="_Toc102634406"/>
      <w:bookmarkStart w:id="8" w:name="_Toc102633906"/>
      <w:bookmarkStart w:id="9" w:name="_Toc1454"/>
      <w:bookmarkStart w:id="10" w:name="_Toc102634255"/>
      <w:r>
        <w:rPr>
          <w:rFonts w:hint="eastAsia"/>
          <w:color w:val="auto"/>
          <w:highlight w:val="none"/>
        </w:rPr>
        <w:t>第二章 加油站概况</w:t>
      </w:r>
      <w:bookmarkEnd w:id="0"/>
      <w:bookmarkEnd w:id="1"/>
      <w:bookmarkEnd w:id="2"/>
      <w:bookmarkEnd w:id="3"/>
      <w:bookmarkEnd w:id="4"/>
      <w:bookmarkEnd w:id="5"/>
    </w:p>
    <w:p w14:paraId="75DFB68C">
      <w:pPr>
        <w:pStyle w:val="2"/>
        <w:spacing w:before="312" w:beforeLines="100" w:after="312" w:afterLines="100" w:line="360" w:lineRule="auto"/>
        <w:ind w:firstLine="0"/>
        <w:rPr>
          <w:rFonts w:hint="eastAsia"/>
          <w:color w:val="auto"/>
          <w:highlight w:val="none"/>
        </w:rPr>
      </w:pPr>
      <w:bookmarkStart w:id="11" w:name="_Toc102633970"/>
      <w:bookmarkStart w:id="12" w:name="_Toc102634227"/>
      <w:bookmarkStart w:id="13" w:name="_Toc208733856"/>
      <w:bookmarkStart w:id="14" w:name="_Toc30066"/>
      <w:bookmarkStart w:id="15" w:name="_Toc102634396"/>
      <w:bookmarkStart w:id="16" w:name="_Toc26504"/>
      <w:bookmarkStart w:id="17" w:name="_Toc272364524"/>
      <w:bookmarkStart w:id="18" w:name="_Toc13779"/>
      <w:bookmarkStart w:id="19" w:name="_Toc102633896"/>
      <w:bookmarkStart w:id="20" w:name="_Toc15033743"/>
      <w:r>
        <w:rPr>
          <w:rFonts w:hint="eastAsia"/>
          <w:color w:val="auto"/>
          <w:highlight w:val="none"/>
        </w:rPr>
        <w:t>第一节 加油站基本情况</w:t>
      </w:r>
      <w:bookmarkEnd w:id="11"/>
      <w:bookmarkEnd w:id="12"/>
      <w:bookmarkEnd w:id="13"/>
      <w:bookmarkEnd w:id="14"/>
      <w:bookmarkEnd w:id="15"/>
      <w:bookmarkEnd w:id="16"/>
      <w:bookmarkEnd w:id="17"/>
      <w:bookmarkEnd w:id="18"/>
      <w:bookmarkEnd w:id="19"/>
      <w:bookmarkEnd w:id="20"/>
    </w:p>
    <w:p w14:paraId="0957CBF7">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宁阳第十四</w:t>
      </w:r>
      <w:r>
        <w:rPr>
          <w:rFonts w:hint="eastAsia" w:ascii="宋体" w:hAnsi="宋体" w:eastAsia="宋体" w:cs="宋体"/>
          <w:color w:val="auto"/>
          <w:sz w:val="28"/>
          <w:szCs w:val="28"/>
          <w:highlight w:val="none"/>
          <w:lang w:eastAsia="zh-CN"/>
        </w:rPr>
        <w:t>加油站</w:t>
      </w:r>
      <w:r>
        <w:rPr>
          <w:rFonts w:hint="eastAsia" w:ascii="宋体" w:hAnsi="宋体" w:eastAsia="宋体" w:cs="宋体"/>
          <w:color w:val="auto"/>
          <w:sz w:val="28"/>
          <w:szCs w:val="28"/>
          <w:highlight w:val="none"/>
        </w:rPr>
        <w:t>位于</w:t>
      </w:r>
      <w:r>
        <w:rPr>
          <w:rFonts w:hint="eastAsia" w:ascii="宋体" w:hAnsi="宋体"/>
          <w:color w:val="auto"/>
          <w:sz w:val="28"/>
          <w:highlight w:val="none"/>
          <w:lang w:eastAsia="zh-CN"/>
        </w:rPr>
        <w:t>宁阳县磁窑镇104国道562公里处西侧</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加油站东侧</w:t>
      </w:r>
      <w:r>
        <w:rPr>
          <w:rFonts w:hint="eastAsia" w:ascii="宋体" w:hAnsi="宋体"/>
          <w:color w:val="auto"/>
          <w:sz w:val="28"/>
          <w:szCs w:val="28"/>
          <w:highlight w:val="none"/>
          <w:lang w:val="en-US" w:eastAsia="zh-CN"/>
        </w:rPr>
        <w:t>是泰山大道（原104国道）、架空电力线、架空通信线，西侧是树林，南侧是沿街房，</w:t>
      </w:r>
      <w:r>
        <w:rPr>
          <w:rFonts w:hint="eastAsia" w:ascii="宋体" w:hAnsi="宋体"/>
          <w:color w:val="auto"/>
          <w:sz w:val="28"/>
          <w:szCs w:val="28"/>
          <w:highlight w:val="none"/>
          <w:lang w:eastAsia="zh-CN"/>
        </w:rPr>
        <w:t>北侧是</w:t>
      </w:r>
      <w:r>
        <w:rPr>
          <w:rFonts w:hint="eastAsia" w:ascii="宋体" w:hAnsi="宋体"/>
          <w:color w:val="auto"/>
          <w:sz w:val="28"/>
          <w:szCs w:val="28"/>
          <w:highlight w:val="none"/>
          <w:lang w:val="en-US" w:eastAsia="zh-CN"/>
        </w:rPr>
        <w:t>小河、架空电力线，西南角处是架空电力线。</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汽油、乙醇汽油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汽油、乙醇汽油</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w:t>
      </w:r>
      <w:r>
        <w:rPr>
          <w:rFonts w:hint="eastAsia" w:ascii="宋体" w:hAnsi="宋体" w:cs="宋体"/>
          <w:color w:val="auto"/>
          <w:sz w:val="28"/>
          <w:highlight w:val="none"/>
          <w:lang w:val="en-US" w:eastAsia="zh-CN"/>
        </w:rPr>
        <w:t>增加人体静电释放仪1个，增加</w:t>
      </w:r>
      <w:r>
        <w:rPr>
          <w:rFonts w:hint="eastAsia" w:ascii="宋体" w:hAnsi="宋体" w:eastAsia="宋体" w:cs="宋体"/>
          <w:color w:val="auto"/>
          <w:sz w:val="28"/>
          <w:highlight w:val="none"/>
          <w:lang w:val="en-US" w:eastAsia="zh-CN"/>
        </w:rPr>
        <w:t>撬装尿素溶液加注装置</w:t>
      </w:r>
      <w:r>
        <w:rPr>
          <w:rFonts w:hint="eastAsia" w:ascii="宋体" w:hAnsi="宋体" w:cs="宋体"/>
          <w:color w:val="auto"/>
          <w:sz w:val="28"/>
          <w:highlight w:val="none"/>
          <w:lang w:val="en-US" w:eastAsia="zh-CN"/>
        </w:rPr>
        <w:t>1台，</w:t>
      </w:r>
      <w:r>
        <w:rPr>
          <w:rFonts w:hint="eastAsia" w:ascii="宋体" w:hAnsi="宋体" w:eastAsia="宋体" w:cs="宋体"/>
          <w:color w:val="auto"/>
          <w:sz w:val="28"/>
          <w:highlight w:val="none"/>
          <w:lang w:val="en-US" w:eastAsia="zh-CN"/>
        </w:rPr>
        <w:t>其余</w:t>
      </w:r>
      <w:r>
        <w:rPr>
          <w:rFonts w:hint="eastAsia" w:ascii="宋体" w:hAnsi="宋体" w:eastAsia="宋体" w:cs="宋体"/>
          <w:color w:val="auto"/>
          <w:sz w:val="28"/>
          <w:highlight w:val="none"/>
        </w:rPr>
        <w:t>周边环境、站内设备设施、主要建构</w:t>
      </w:r>
      <w:r>
        <w:rPr>
          <w:rFonts w:hint="eastAsia" w:ascii="宋体" w:hAnsi="宋体" w:eastAsia="宋体" w:cs="宋体"/>
          <w:color w:val="auto"/>
          <w:sz w:val="28"/>
          <w:szCs w:val="28"/>
          <w:highlight w:val="none"/>
        </w:rPr>
        <w:t>筑物未发生变化。</w:t>
      </w:r>
    </w:p>
    <w:p w14:paraId="10A5C1EE">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Theme="minorEastAsia" w:hAnsiTheme="minorEastAsia" w:eastAsiaTheme="minorEastAsia" w:cstheme="minorEastAsia"/>
          <w:color w:val="auto"/>
          <w:kern w:val="2"/>
          <w:sz w:val="28"/>
          <w:szCs w:val="21"/>
          <w:highlight w:val="none"/>
          <w:lang w:val="en-US" w:eastAsia="zh-CN" w:bidi="ar-SA"/>
        </w:rPr>
        <w:t>该加油站主要建有站房、罩棚、油罐区、加油区等。加油区在站房东侧，现有</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bCs/>
          <w:color w:val="auto"/>
          <w:highlight w:val="none"/>
        </w:rPr>
        <w:t>台</w:t>
      </w:r>
      <w:r>
        <w:rPr>
          <w:rFonts w:hint="eastAsia" w:asciiTheme="minorEastAsia" w:hAnsiTheme="minorEastAsia" w:eastAsiaTheme="minorEastAsia" w:cstheme="minorEastAsia"/>
          <w:bCs/>
          <w:color w:val="auto"/>
          <w:highlight w:val="none"/>
          <w:lang w:val="en-US" w:eastAsia="zh-CN"/>
        </w:rPr>
        <w:t>双</w:t>
      </w:r>
      <w:r>
        <w:rPr>
          <w:rFonts w:hint="eastAsia" w:asciiTheme="minorEastAsia" w:hAnsiTheme="minorEastAsia" w:eastAsiaTheme="minorEastAsia" w:cstheme="minorEastAsia"/>
          <w:bCs/>
          <w:color w:val="auto"/>
          <w:highlight w:val="none"/>
        </w:rPr>
        <w:t>枪</w:t>
      </w:r>
      <w:r>
        <w:rPr>
          <w:rFonts w:hint="eastAsia" w:asciiTheme="minorEastAsia" w:hAnsiTheme="minorEastAsia" w:eastAsiaTheme="minorEastAsia" w:cstheme="minorEastAsia"/>
          <w:bCs/>
          <w:color w:val="auto"/>
          <w:highlight w:val="none"/>
          <w:lang w:val="en-US" w:eastAsia="zh-CN"/>
        </w:rPr>
        <w:t>加油机（1台92#乙醇汽油，1台柴油</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bCs/>
          <w:color w:val="auto"/>
          <w:highlight w:val="none"/>
        </w:rPr>
        <w:t>台</w:t>
      </w:r>
      <w:r>
        <w:rPr>
          <w:rFonts w:hint="eastAsia" w:asciiTheme="minorEastAsia" w:hAnsiTheme="minorEastAsia" w:eastAsiaTheme="minorEastAsia" w:cstheme="minorEastAsia"/>
          <w:bCs/>
          <w:color w:val="auto"/>
          <w:highlight w:val="none"/>
          <w:lang w:val="en-US" w:eastAsia="zh-CN"/>
        </w:rPr>
        <w:t>单</w:t>
      </w:r>
      <w:r>
        <w:rPr>
          <w:rFonts w:hint="eastAsia" w:asciiTheme="minorEastAsia" w:hAnsiTheme="minorEastAsia" w:eastAsiaTheme="minorEastAsia" w:cstheme="minorEastAsia"/>
          <w:bCs/>
          <w:color w:val="auto"/>
          <w:highlight w:val="none"/>
        </w:rPr>
        <w:t>枪</w:t>
      </w:r>
      <w:r>
        <w:rPr>
          <w:rFonts w:hint="eastAsia" w:asciiTheme="minorEastAsia" w:hAnsiTheme="minorEastAsia" w:eastAsiaTheme="minorEastAsia" w:cstheme="minorEastAsia"/>
          <w:bCs/>
          <w:color w:val="auto"/>
          <w:highlight w:val="none"/>
          <w:lang w:val="en-US" w:eastAsia="zh-CN"/>
        </w:rPr>
        <w:t>加油机（1台95#汽油，1台柴油</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1台</w:t>
      </w:r>
      <w:r>
        <w:rPr>
          <w:rFonts w:hint="eastAsia" w:ascii="宋体" w:hAnsi="宋体" w:cs="宋体"/>
          <w:bCs/>
          <w:color w:val="auto"/>
          <w:highlight w:val="none"/>
          <w:lang w:val="en-US" w:eastAsia="zh-CN"/>
        </w:rPr>
        <w:t>撬装尿素溶液加注装置</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站房南</w:t>
      </w:r>
      <w:r>
        <w:rPr>
          <w:rFonts w:hint="eastAsia" w:ascii="宋体" w:hAnsi="宋体" w:eastAsia="宋体" w:cs="宋体"/>
          <w:color w:val="auto"/>
          <w:kern w:val="2"/>
          <w:sz w:val="28"/>
          <w:szCs w:val="21"/>
          <w:highlight w:val="none"/>
          <w:lang w:val="en-US" w:eastAsia="zh-CN" w:bidi="ar-SA"/>
        </w:rPr>
        <w:t>侧</w:t>
      </w:r>
      <w:r>
        <w:rPr>
          <w:rFonts w:hint="eastAsia" w:ascii="宋体" w:hAnsi="宋体" w:cs="宋体"/>
          <w:color w:val="auto"/>
          <w:kern w:val="2"/>
          <w:sz w:val="28"/>
          <w:szCs w:val="21"/>
          <w:highlight w:val="none"/>
          <w:lang w:val="en-US" w:eastAsia="zh-CN" w:bidi="ar-SA"/>
        </w:rPr>
        <w:t>非</w:t>
      </w:r>
      <w:r>
        <w:rPr>
          <w:rFonts w:hint="eastAsia" w:ascii="宋体" w:hAnsi="宋体" w:eastAsia="宋体" w:cs="宋体"/>
          <w:color w:val="auto"/>
          <w:kern w:val="2"/>
          <w:sz w:val="28"/>
          <w:szCs w:val="21"/>
          <w:highlight w:val="none"/>
          <w:lang w:val="en-US" w:eastAsia="zh-CN" w:bidi="ar-SA"/>
        </w:rPr>
        <w:t>车行道下方，</w:t>
      </w:r>
      <w:r>
        <w:rPr>
          <w:rFonts w:hint="eastAsia" w:ascii="宋体" w:hAnsi="宋体" w:cs="宋体"/>
          <w:bCs/>
          <w:color w:val="auto"/>
          <w:highlight w:val="none"/>
          <w:lang w:val="en-US" w:eastAsia="zh-CN"/>
        </w:rPr>
        <w:t>现有4台30m³埋地双层储罐（1台92#乙醇汽油罐、1台95#汽油罐、2台柴油罐），</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西</w:t>
      </w:r>
      <w:r>
        <w:rPr>
          <w:rFonts w:hint="eastAsia" w:ascii="宋体" w:hAnsi="宋体" w:eastAsia="宋体" w:cs="宋体"/>
          <w:color w:val="auto"/>
          <w:kern w:val="2"/>
          <w:sz w:val="28"/>
          <w:szCs w:val="21"/>
          <w:highlight w:val="none"/>
          <w:lang w:val="en-US" w:eastAsia="zh-CN" w:bidi="ar-SA"/>
        </w:rPr>
        <w:t>侧，该站设有卸油油气回收系统、加油油气回收系统</w:t>
      </w:r>
      <w:r>
        <w:rPr>
          <w:rFonts w:hint="eastAsia" w:ascii="宋体" w:hAnsi="宋体"/>
          <w:color w:val="auto"/>
          <w:szCs w:val="28"/>
          <w:highlight w:val="none"/>
        </w:rPr>
        <w:t>；</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120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m³，该站属三级加油站。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3</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中国石化山东泰山石油</w:t>
      </w:r>
      <w:r>
        <w:rPr>
          <w:rFonts w:hint="eastAsia" w:ascii="宋体" w:hAnsi="宋体"/>
          <w:color w:val="auto"/>
          <w:sz w:val="28"/>
          <w:highlight w:val="none"/>
        </w:rPr>
        <w:t>股份有限公司于</w:t>
      </w:r>
      <w:r>
        <w:rPr>
          <w:rFonts w:hint="eastAsia" w:ascii="宋体" w:hAnsi="宋体"/>
          <w:color w:val="auto"/>
          <w:sz w:val="28"/>
          <w:highlight w:val="none"/>
          <w:lang w:val="en-US" w:eastAsia="zh-CN"/>
        </w:rPr>
        <w:t>2004</w:t>
      </w:r>
      <w:r>
        <w:rPr>
          <w:rFonts w:hint="eastAsia" w:ascii="宋体" w:hAnsi="宋体"/>
          <w:color w:val="auto"/>
          <w:sz w:val="28"/>
          <w:highlight w:val="none"/>
        </w:rPr>
        <w:t>年</w:t>
      </w:r>
      <w:r>
        <w:rPr>
          <w:rFonts w:hint="eastAsia" w:ascii="宋体" w:hAnsi="宋体"/>
          <w:color w:val="auto"/>
          <w:sz w:val="28"/>
          <w:highlight w:val="none"/>
          <w:lang w:val="en-US" w:eastAsia="zh-CN"/>
        </w:rPr>
        <w:t>3月19日取得了宁阳县国土资源局签发的</w:t>
      </w:r>
      <w:r>
        <w:rPr>
          <w:rFonts w:hint="eastAsia" w:ascii="宋体" w:hAnsi="宋体"/>
          <w:color w:val="auto"/>
          <w:sz w:val="28"/>
          <w:highlight w:val="none"/>
        </w:rPr>
        <w:t>《</w:t>
      </w:r>
      <w:r>
        <w:rPr>
          <w:rFonts w:hint="eastAsia" w:ascii="宋体" w:hAnsi="宋体"/>
          <w:color w:val="auto"/>
          <w:sz w:val="28"/>
          <w:highlight w:val="none"/>
          <w:lang w:val="en-US" w:eastAsia="zh-CN"/>
        </w:rPr>
        <w:t>国有土地使用证</w:t>
      </w:r>
      <w:r>
        <w:rPr>
          <w:rFonts w:hint="eastAsia" w:ascii="宋体" w:hAnsi="宋体"/>
          <w:color w:val="auto"/>
          <w:sz w:val="28"/>
          <w:highlight w:val="none"/>
        </w:rPr>
        <w:t>》，</w:t>
      </w:r>
      <w:r>
        <w:rPr>
          <w:rFonts w:hint="eastAsia" w:ascii="宋体" w:hAnsi="宋体"/>
          <w:color w:val="auto"/>
          <w:sz w:val="28"/>
          <w:highlight w:val="none"/>
          <w:lang w:val="en-US" w:eastAsia="zh-CN"/>
        </w:rPr>
        <w:t>证书编号：宁国用（2004）字第063号，</w:t>
      </w:r>
      <w:r>
        <w:rPr>
          <w:rFonts w:hint="eastAsia" w:ascii="宋体" w:hAnsi="宋体"/>
          <w:color w:val="auto"/>
          <w:sz w:val="28"/>
          <w:highlight w:val="none"/>
        </w:rPr>
        <w:t>详见附件。</w:t>
      </w:r>
    </w:p>
    <w:p w14:paraId="7DD09B2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lang w:val="en-US" w:eastAsia="zh-CN"/>
        </w:rPr>
      </w:pPr>
      <w:r>
        <w:rPr>
          <w:rFonts w:hint="eastAsia" w:ascii="宋体" w:hAnsi="宋体"/>
          <w:color w:val="auto"/>
          <w:sz w:val="28"/>
          <w:highlight w:val="none"/>
          <w:lang w:val="en-US" w:eastAsia="zh-CN"/>
        </w:rPr>
        <w:t>加油站于2007年5月30日取得了宁阳县公安消防大队出具的</w:t>
      </w:r>
      <w:r>
        <w:rPr>
          <w:rFonts w:hint="eastAsia" w:ascii="宋体" w:hAnsi="宋体"/>
          <w:color w:val="auto"/>
          <w:sz w:val="28"/>
          <w:highlight w:val="none"/>
        </w:rPr>
        <w:t>《</w:t>
      </w:r>
      <w:r>
        <w:rPr>
          <w:rFonts w:hint="eastAsia" w:ascii="宋体" w:hAnsi="宋体"/>
          <w:color w:val="auto"/>
          <w:sz w:val="28"/>
          <w:highlight w:val="none"/>
          <w:lang w:val="en-US" w:eastAsia="zh-CN"/>
        </w:rPr>
        <w:t>建筑工程消防验收意见书</w:t>
      </w:r>
      <w:r>
        <w:rPr>
          <w:rFonts w:hint="eastAsia" w:ascii="宋体" w:hAnsi="宋体"/>
          <w:color w:val="auto"/>
          <w:sz w:val="28"/>
          <w:highlight w:val="none"/>
        </w:rPr>
        <w:t>》</w:t>
      </w:r>
      <w:r>
        <w:rPr>
          <w:rFonts w:hint="eastAsia" w:ascii="宋体" w:hAnsi="宋体"/>
          <w:color w:val="auto"/>
          <w:sz w:val="28"/>
          <w:highlight w:val="none"/>
          <w:lang w:val="en-US" w:eastAsia="zh-CN"/>
        </w:rPr>
        <w:t>，证书编号：宁公消验字</w:t>
      </w:r>
      <w:r>
        <w:rPr>
          <w:rFonts w:hint="eastAsia" w:ascii="宋体" w:hAnsi="宋体"/>
          <w:color w:val="auto"/>
          <w:sz w:val="28"/>
          <w:highlight w:val="none"/>
        </w:rPr>
        <w:t>[20</w:t>
      </w:r>
      <w:r>
        <w:rPr>
          <w:rFonts w:hint="eastAsia" w:ascii="宋体" w:hAnsi="宋体"/>
          <w:color w:val="auto"/>
          <w:sz w:val="28"/>
          <w:highlight w:val="none"/>
          <w:lang w:val="en-US" w:eastAsia="zh-CN"/>
        </w:rPr>
        <w:t>07</w:t>
      </w:r>
      <w:r>
        <w:rPr>
          <w:rFonts w:hint="eastAsia" w:ascii="宋体" w:hAnsi="宋体"/>
          <w:color w:val="auto"/>
          <w:sz w:val="28"/>
          <w:highlight w:val="none"/>
        </w:rPr>
        <w:t>]</w:t>
      </w:r>
      <w:r>
        <w:rPr>
          <w:rFonts w:hint="eastAsia" w:ascii="宋体" w:hAnsi="宋体"/>
          <w:color w:val="auto"/>
          <w:sz w:val="28"/>
          <w:highlight w:val="none"/>
          <w:lang w:val="en-US" w:eastAsia="zh-CN"/>
        </w:rPr>
        <w:t>第014号，详见附件。</w:t>
      </w:r>
    </w:p>
    <w:p w14:paraId="23A031E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加油站于202</w:t>
      </w:r>
      <w:r>
        <w:rPr>
          <w:rFonts w:hint="eastAsia" w:ascii="宋体" w:hAnsi="宋体"/>
          <w:color w:val="auto"/>
          <w:sz w:val="28"/>
          <w:highlight w:val="none"/>
          <w:lang w:val="en-US" w:eastAsia="zh-CN"/>
        </w:rPr>
        <w:t>1</w:t>
      </w:r>
      <w:r>
        <w:rPr>
          <w:rFonts w:hint="eastAsia" w:ascii="宋体" w:hAnsi="宋体"/>
          <w:color w:val="auto"/>
          <w:sz w:val="28"/>
          <w:highlight w:val="none"/>
        </w:rPr>
        <w:t>年</w:t>
      </w:r>
      <w:r>
        <w:rPr>
          <w:rFonts w:hint="eastAsia" w:ascii="宋体" w:hAnsi="宋体"/>
          <w:color w:val="auto"/>
          <w:sz w:val="28"/>
          <w:highlight w:val="none"/>
          <w:lang w:val="en-US" w:eastAsia="zh-CN"/>
        </w:rPr>
        <w:t>06</w:t>
      </w:r>
      <w:r>
        <w:rPr>
          <w:rFonts w:hint="eastAsia" w:ascii="宋体" w:hAnsi="宋体"/>
          <w:color w:val="auto"/>
          <w:sz w:val="28"/>
          <w:highlight w:val="none"/>
        </w:rPr>
        <w:t>月</w:t>
      </w:r>
      <w:r>
        <w:rPr>
          <w:rFonts w:hint="eastAsia" w:ascii="宋体" w:hAnsi="宋体"/>
          <w:color w:val="auto"/>
          <w:sz w:val="28"/>
          <w:highlight w:val="none"/>
          <w:lang w:val="en-US" w:eastAsia="zh-CN"/>
        </w:rPr>
        <w:t>22</w:t>
      </w:r>
      <w:r>
        <w:rPr>
          <w:rFonts w:hint="eastAsia" w:ascii="宋体" w:hAnsi="宋体"/>
          <w:color w:val="auto"/>
          <w:sz w:val="28"/>
          <w:highlight w:val="none"/>
        </w:rPr>
        <w:t>日换发了《成品油零售经营批准证书》，证书编号：鲁油零售证书第37090</w:t>
      </w:r>
      <w:r>
        <w:rPr>
          <w:rFonts w:hint="eastAsia" w:ascii="宋体" w:hAnsi="宋体"/>
          <w:color w:val="auto"/>
          <w:sz w:val="28"/>
          <w:highlight w:val="none"/>
          <w:lang w:val="en-US" w:eastAsia="zh-CN"/>
        </w:rPr>
        <w:t>41011</w:t>
      </w:r>
      <w:r>
        <w:rPr>
          <w:rFonts w:hint="eastAsia" w:ascii="宋体" w:hAnsi="宋体"/>
          <w:color w:val="auto"/>
          <w:sz w:val="28"/>
          <w:highlight w:val="none"/>
        </w:rPr>
        <w:t>号，证书有效期至2026年</w:t>
      </w:r>
      <w:r>
        <w:rPr>
          <w:rFonts w:hint="eastAsia" w:ascii="宋体" w:hAnsi="宋体"/>
          <w:color w:val="auto"/>
          <w:sz w:val="28"/>
          <w:highlight w:val="none"/>
          <w:lang w:val="en-US" w:eastAsia="zh-CN"/>
        </w:rPr>
        <w:t>06</w:t>
      </w:r>
      <w:r>
        <w:rPr>
          <w:rFonts w:hint="eastAsia" w:ascii="宋体" w:hAnsi="宋体"/>
          <w:color w:val="auto"/>
          <w:sz w:val="28"/>
          <w:highlight w:val="none"/>
        </w:rPr>
        <w:t>月</w:t>
      </w:r>
      <w:r>
        <w:rPr>
          <w:rFonts w:hint="eastAsia" w:ascii="宋体" w:hAnsi="宋体"/>
          <w:color w:val="auto"/>
          <w:sz w:val="28"/>
          <w:highlight w:val="none"/>
          <w:lang w:val="en-US" w:eastAsia="zh-CN"/>
        </w:rPr>
        <w:t>22</w:t>
      </w:r>
      <w:r>
        <w:rPr>
          <w:rFonts w:hint="eastAsia" w:ascii="宋体" w:hAnsi="宋体"/>
          <w:color w:val="auto"/>
          <w:sz w:val="28"/>
          <w:highlight w:val="none"/>
        </w:rPr>
        <w:t>日，证书见附件。</w:t>
      </w:r>
    </w:p>
    <w:p w14:paraId="1E0E052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加油站于202</w:t>
      </w:r>
      <w:r>
        <w:rPr>
          <w:rFonts w:hint="eastAsia" w:ascii="宋体" w:hAnsi="宋体"/>
          <w:color w:val="auto"/>
          <w:sz w:val="28"/>
          <w:highlight w:val="none"/>
          <w:lang w:val="en-US" w:eastAsia="zh-CN"/>
        </w:rPr>
        <w:t>2</w:t>
      </w:r>
      <w:r>
        <w:rPr>
          <w:rFonts w:hint="eastAsia" w:ascii="宋体" w:hAnsi="宋体"/>
          <w:color w:val="auto"/>
          <w:sz w:val="28"/>
          <w:highlight w:val="none"/>
        </w:rPr>
        <w:t>年</w:t>
      </w:r>
      <w:r>
        <w:rPr>
          <w:rFonts w:hint="eastAsia" w:ascii="宋体" w:hAnsi="宋体"/>
          <w:color w:val="auto"/>
          <w:sz w:val="28"/>
          <w:highlight w:val="none"/>
          <w:lang w:val="en-US" w:eastAsia="zh-CN"/>
        </w:rPr>
        <w:t>6</w:t>
      </w:r>
      <w:r>
        <w:rPr>
          <w:rFonts w:hint="eastAsia" w:ascii="宋体" w:hAnsi="宋体"/>
          <w:color w:val="auto"/>
          <w:sz w:val="28"/>
          <w:highlight w:val="none"/>
        </w:rPr>
        <w:t>月</w:t>
      </w:r>
      <w:r>
        <w:rPr>
          <w:rFonts w:hint="eastAsia" w:ascii="宋体" w:hAnsi="宋体"/>
          <w:color w:val="auto"/>
          <w:sz w:val="28"/>
          <w:highlight w:val="none"/>
          <w:lang w:val="en-US" w:eastAsia="zh-CN"/>
        </w:rPr>
        <w:t>20</w:t>
      </w:r>
      <w:r>
        <w:rPr>
          <w:rFonts w:hint="eastAsia" w:ascii="宋体" w:hAnsi="宋体"/>
          <w:color w:val="auto"/>
          <w:sz w:val="28"/>
          <w:highlight w:val="none"/>
        </w:rPr>
        <w:t>日换发了《危险化学品经营许可证》，证书编号：鲁泰危化经[20</w:t>
      </w:r>
      <w:r>
        <w:rPr>
          <w:rFonts w:hint="eastAsia" w:ascii="宋体" w:hAnsi="宋体"/>
          <w:color w:val="auto"/>
          <w:sz w:val="28"/>
          <w:highlight w:val="none"/>
          <w:lang w:val="en-US" w:eastAsia="zh-CN"/>
        </w:rPr>
        <w:t>22</w:t>
      </w:r>
      <w:r>
        <w:rPr>
          <w:rFonts w:hint="eastAsia" w:ascii="宋体" w:hAnsi="宋体"/>
          <w:color w:val="auto"/>
          <w:sz w:val="28"/>
          <w:highlight w:val="none"/>
        </w:rPr>
        <w:t>]000</w:t>
      </w:r>
      <w:r>
        <w:rPr>
          <w:rFonts w:hint="eastAsia" w:ascii="宋体" w:hAnsi="宋体"/>
          <w:color w:val="auto"/>
          <w:sz w:val="28"/>
          <w:highlight w:val="none"/>
          <w:lang w:val="en-US" w:eastAsia="zh-CN"/>
        </w:rPr>
        <w:t>297</w:t>
      </w:r>
      <w:r>
        <w:rPr>
          <w:rFonts w:hint="eastAsia" w:ascii="宋体" w:hAnsi="宋体"/>
          <w:color w:val="auto"/>
          <w:sz w:val="28"/>
          <w:highlight w:val="none"/>
        </w:rPr>
        <w:t>号，证书有效期至202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6</w:t>
      </w:r>
      <w:r>
        <w:rPr>
          <w:rFonts w:hint="eastAsia" w:ascii="宋体" w:hAnsi="宋体"/>
          <w:color w:val="auto"/>
          <w:sz w:val="28"/>
          <w:highlight w:val="none"/>
        </w:rPr>
        <w:t>月</w:t>
      </w:r>
      <w:r>
        <w:rPr>
          <w:rFonts w:hint="eastAsia" w:ascii="宋体" w:hAnsi="宋体"/>
          <w:color w:val="auto"/>
          <w:sz w:val="28"/>
          <w:highlight w:val="none"/>
          <w:lang w:val="en-US" w:eastAsia="zh-CN"/>
        </w:rPr>
        <w:t>20</w:t>
      </w:r>
      <w:r>
        <w:rPr>
          <w:rFonts w:hint="eastAsia" w:ascii="宋体" w:hAnsi="宋体"/>
          <w:color w:val="auto"/>
          <w:sz w:val="28"/>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4年10</w:t>
      </w:r>
      <w:r>
        <w:rPr>
          <w:rFonts w:hint="eastAsia" w:ascii="宋体" w:hAnsi="宋体"/>
          <w:color w:val="auto"/>
          <w:sz w:val="28"/>
          <w:highlight w:val="none"/>
        </w:rPr>
        <w:t>月</w:t>
      </w:r>
      <w:r>
        <w:rPr>
          <w:rFonts w:hint="eastAsia" w:ascii="宋体" w:hAnsi="宋体"/>
          <w:color w:val="auto"/>
          <w:sz w:val="28"/>
          <w:highlight w:val="none"/>
          <w:lang w:val="en-US" w:eastAsia="zh-CN"/>
        </w:rPr>
        <w:t>17</w:t>
      </w:r>
      <w:r>
        <w:rPr>
          <w:rFonts w:hint="eastAsia" w:ascii="宋体" w:hAnsi="宋体"/>
          <w:color w:val="auto"/>
          <w:sz w:val="28"/>
          <w:highlight w:val="none"/>
        </w:rPr>
        <w:t>日在泰安市应急管理局进行了备案，备案编号为：3709</w:t>
      </w:r>
      <w:r>
        <w:rPr>
          <w:rFonts w:hint="eastAsia" w:ascii="宋体" w:hAnsi="宋体"/>
          <w:color w:val="auto"/>
          <w:sz w:val="28"/>
          <w:highlight w:val="none"/>
          <w:lang w:val="en-US" w:eastAsia="zh-CN"/>
        </w:rPr>
        <w:t>00</w:t>
      </w:r>
      <w:r>
        <w:rPr>
          <w:rFonts w:hint="eastAsia" w:ascii="宋体" w:hAnsi="宋体"/>
          <w:color w:val="auto"/>
          <w:sz w:val="28"/>
          <w:highlight w:val="none"/>
        </w:rPr>
        <w:t>-202</w:t>
      </w:r>
      <w:r>
        <w:rPr>
          <w:rFonts w:hint="eastAsia" w:ascii="宋体" w:hAnsi="宋体"/>
          <w:color w:val="auto"/>
          <w:sz w:val="28"/>
          <w:highlight w:val="none"/>
          <w:lang w:val="en-US" w:eastAsia="zh-CN"/>
        </w:rPr>
        <w:t>4</w:t>
      </w:r>
      <w:r>
        <w:rPr>
          <w:rFonts w:hint="eastAsia" w:ascii="宋体" w:hAnsi="宋体"/>
          <w:color w:val="auto"/>
          <w:sz w:val="28"/>
          <w:highlight w:val="none"/>
        </w:rPr>
        <w:t>-0</w:t>
      </w:r>
      <w:r>
        <w:rPr>
          <w:rFonts w:hint="eastAsia" w:ascii="宋体" w:hAnsi="宋体"/>
          <w:color w:val="auto"/>
          <w:sz w:val="28"/>
          <w:highlight w:val="none"/>
          <w:lang w:val="en-US" w:eastAsia="zh-CN"/>
        </w:rPr>
        <w:t>014</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w:t>
      </w:r>
      <w:r>
        <w:rPr>
          <w:rFonts w:hint="eastAsia" w:ascii="宋体" w:hAnsi="宋体"/>
          <w:color w:val="auto"/>
          <w:sz w:val="28"/>
          <w:highlight w:val="none"/>
          <w:lang w:val="en-US" w:eastAsia="zh-CN"/>
        </w:rPr>
        <w:t>5]D-</w:t>
      </w:r>
      <w:r>
        <w:rPr>
          <w:rFonts w:hint="eastAsia" w:ascii="宋体" w:hAnsi="宋体"/>
          <w:color w:val="auto"/>
          <w:sz w:val="28"/>
          <w:highlight w:val="none"/>
        </w:rPr>
        <w:t>TA</w:t>
      </w:r>
      <w:r>
        <w:rPr>
          <w:rFonts w:hint="eastAsia" w:ascii="宋体" w:hAnsi="宋体"/>
          <w:color w:val="auto"/>
          <w:sz w:val="28"/>
          <w:highlight w:val="none"/>
          <w:lang w:val="en-US" w:eastAsia="zh-CN"/>
        </w:rPr>
        <w:t>NY0029</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加油站</w:t>
      </w:r>
      <w:r>
        <w:rPr>
          <w:rFonts w:hint="eastAsia" w:ascii="宋体" w:hAnsi="宋体"/>
          <w:color w:val="auto"/>
          <w:sz w:val="28"/>
          <w:highlight w:val="none"/>
        </w:rPr>
        <w:t>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09</w:t>
      </w:r>
      <w:r>
        <w:rPr>
          <w:rFonts w:hint="eastAsia" w:ascii="宋体" w:hAnsi="宋体"/>
          <w:color w:val="auto"/>
          <w:sz w:val="28"/>
          <w:highlight w:val="none"/>
        </w:rPr>
        <w:t>月</w:t>
      </w:r>
      <w:r>
        <w:rPr>
          <w:rFonts w:hint="eastAsia" w:ascii="宋体" w:hAnsi="宋体"/>
          <w:color w:val="auto"/>
          <w:sz w:val="28"/>
          <w:highlight w:val="none"/>
          <w:lang w:val="en-US" w:eastAsia="zh-CN"/>
        </w:rPr>
        <w:t>20</w:t>
      </w:r>
      <w:r>
        <w:rPr>
          <w:rFonts w:hint="eastAsia" w:ascii="宋体" w:hAnsi="宋体"/>
          <w:color w:val="auto"/>
          <w:sz w:val="28"/>
          <w:highlight w:val="none"/>
        </w:rPr>
        <w:t>日，检测报告见附件。</w:t>
      </w:r>
    </w:p>
    <w:p w14:paraId="2C452701">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济南市分公司</w:t>
      </w:r>
      <w:r>
        <w:rPr>
          <w:rFonts w:hint="eastAsia" w:ascii="宋体"/>
          <w:color w:val="auto"/>
          <w:highlight w:val="none"/>
        </w:rPr>
        <w:t>投保安全生产责任保险，保险期限202</w:t>
      </w:r>
      <w:r>
        <w:rPr>
          <w:rFonts w:hint="eastAsia" w:ascii="宋体"/>
          <w:color w:val="auto"/>
          <w:highlight w:val="none"/>
          <w:lang w:val="en-US" w:eastAsia="zh-CN"/>
        </w:rPr>
        <w:t>4</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23</w:t>
      </w:r>
      <w:r>
        <w:rPr>
          <w:rFonts w:hint="eastAsia" w:ascii="宋体"/>
          <w:color w:val="auto"/>
          <w:highlight w:val="none"/>
        </w:rPr>
        <w:t>日至202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2</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10</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6</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bookmarkEnd w:id="6"/>
      <w:bookmarkEnd w:id="7"/>
      <w:bookmarkEnd w:id="8"/>
      <w:bookmarkEnd w:id="9"/>
      <w:bookmarkEnd w:id="10"/>
    </w:p>
    <w:p w14:paraId="2746B56D">
      <w:pPr>
        <w:pStyle w:val="2"/>
        <w:spacing w:before="312" w:beforeLines="100" w:after="312" w:afterLines="100" w:line="360" w:lineRule="auto"/>
        <w:ind w:firstLine="0"/>
        <w:rPr>
          <w:rFonts w:hint="eastAsia"/>
          <w:color w:val="auto"/>
          <w:highlight w:val="none"/>
        </w:rPr>
      </w:pPr>
      <w:bookmarkStart w:id="21" w:name="_Toc102633907"/>
      <w:bookmarkStart w:id="22" w:name="_Toc102634407"/>
      <w:bookmarkStart w:id="23" w:name="_Toc12643"/>
      <w:bookmarkStart w:id="24" w:name="_Toc102634256"/>
      <w:bookmarkStart w:id="25" w:name="_Toc238007574"/>
      <w:bookmarkStart w:id="26" w:name="_Toc198026273"/>
      <w:bookmarkStart w:id="27" w:name="_Toc272364536"/>
      <w:bookmarkStart w:id="28" w:name="_Toc15033754"/>
      <w:bookmarkStart w:id="29" w:name="_Toc7829"/>
      <w:bookmarkStart w:id="30" w:name="_Toc102633981"/>
      <w:bookmarkStart w:id="31" w:name="_Toc192907201"/>
      <w:bookmarkStart w:id="32" w:name="_Toc23543"/>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5EA8A3D7">
      <w:pPr>
        <w:pStyle w:val="2"/>
        <w:spacing w:before="312" w:beforeLines="100" w:after="312" w:afterLines="100" w:line="360" w:lineRule="auto"/>
        <w:ind w:firstLine="0"/>
        <w:rPr>
          <w:rFonts w:hint="eastAsia"/>
          <w:color w:val="auto"/>
          <w:highlight w:val="none"/>
        </w:rPr>
      </w:pPr>
      <w:bookmarkStart w:id="35" w:name="_Toc102633908"/>
      <w:bookmarkStart w:id="36" w:name="_Toc102634259"/>
      <w:bookmarkStart w:id="37" w:name="_Toc102634408"/>
      <w:bookmarkStart w:id="38" w:name="_Toc102633982"/>
      <w:bookmarkStart w:id="39" w:name="_Toc22810"/>
    </w:p>
    <w:p w14:paraId="4728414C">
      <w:pPr>
        <w:pStyle w:val="2"/>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新泰第四十六加油站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40" w:name="_Toc7871"/>
      <w:r>
        <w:rPr>
          <w:rFonts w:hint="eastAsia"/>
          <w:color w:val="auto"/>
          <w:highlight w:val="none"/>
        </w:rPr>
        <w:t>第六章  安全对策措施及建议</w:t>
      </w:r>
      <w:bookmarkEnd w:id="40"/>
    </w:p>
    <w:p w14:paraId="61D5A378">
      <w:pPr>
        <w:pStyle w:val="2"/>
        <w:spacing w:before="312" w:beforeLines="100" w:after="312" w:afterLines="100" w:line="360" w:lineRule="auto"/>
        <w:ind w:firstLine="0"/>
        <w:rPr>
          <w:rFonts w:hint="eastAsia"/>
          <w:color w:val="auto"/>
          <w:highlight w:val="none"/>
        </w:rPr>
      </w:pPr>
      <w:bookmarkStart w:id="41" w:name="_Toc339456079"/>
      <w:bookmarkStart w:id="42" w:name="_Toc225046264"/>
      <w:bookmarkStart w:id="43" w:name="_Toc242065302"/>
      <w:bookmarkStart w:id="44" w:name="_Toc15033762"/>
      <w:bookmarkStart w:id="45" w:name="_Toc102634415"/>
      <w:bookmarkStart w:id="46" w:name="_Toc348877039"/>
      <w:bookmarkStart w:id="47" w:name="_Toc102633989"/>
      <w:bookmarkStart w:id="48" w:name="_Toc102633915"/>
      <w:bookmarkStart w:id="49" w:name="_Toc4961"/>
      <w:bookmarkStart w:id="50" w:name="_Toc102634277"/>
      <w:bookmarkStart w:id="51" w:name="_Toc2607"/>
      <w:r>
        <w:rPr>
          <w:rFonts w:hint="eastAsia"/>
          <w:color w:val="auto"/>
          <w:highlight w:val="none"/>
        </w:rPr>
        <w:t xml:space="preserve">第一节 </w:t>
      </w:r>
      <w:bookmarkEnd w:id="41"/>
      <w:bookmarkEnd w:id="42"/>
      <w:r>
        <w:rPr>
          <w:rFonts w:hint="eastAsia"/>
          <w:color w:val="auto"/>
          <w:highlight w:val="none"/>
        </w:rPr>
        <w:t>存在的问题及整改建议</w:t>
      </w:r>
      <w:bookmarkEnd w:id="43"/>
      <w:bookmarkEnd w:id="44"/>
      <w:bookmarkEnd w:id="45"/>
      <w:bookmarkEnd w:id="46"/>
      <w:bookmarkEnd w:id="47"/>
      <w:bookmarkEnd w:id="48"/>
      <w:bookmarkEnd w:id="49"/>
      <w:bookmarkEnd w:id="50"/>
      <w:bookmarkEnd w:id="51"/>
    </w:p>
    <w:p w14:paraId="0EA8F6C9">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52" w:name="_Toc15033763"/>
      <w:bookmarkStart w:id="53"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52"/>
      <w:bookmarkEnd w:id="53"/>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6CAEA933">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c>
          <w:tcPr>
            <w:tcW w:w="4740" w:type="dxa"/>
            <w:shd w:val="clear" w:color="auto" w:fill="auto"/>
            <w:vAlign w:val="center"/>
          </w:tcPr>
          <w:p w14:paraId="590897B6">
            <w:pPr>
              <w:jc w:val="center"/>
              <w:rPr>
                <w:rFonts w:hint="default" w:ascii="Times New Roman" w:hAnsi="Times New Roman" w:eastAsia="宋体" w:cs="Times New Roman"/>
                <w:color w:val="auto"/>
                <w:kern w:val="2"/>
                <w:sz w:val="21"/>
                <w:szCs w:val="21"/>
                <w:highlight w:val="none"/>
                <w:u w:color="000000"/>
                <w:lang w:val="en-US" w:eastAsia="zh-CN" w:bidi="ar-SA"/>
              </w:rPr>
            </w:pPr>
            <w:r>
              <w:rPr>
                <w:rFonts w:hint="eastAsia" w:ascii="宋体" w:hAnsi="宋体"/>
                <w:color w:val="auto"/>
                <w:spacing w:val="6"/>
                <w:highlight w:val="none"/>
                <w:lang w:val="en-US" w:eastAsia="zh-CN"/>
              </w:rPr>
              <w:t>无</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A98B92E">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B98A5AA">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312E772A">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0C71232">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02000156">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763D2408">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237CF453">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38E59759">
      <w:pPr>
        <w:pStyle w:val="13"/>
        <w:rPr>
          <w:rFonts w:hint="eastAsia" w:ascii="黑体" w:hAnsi="黑体" w:eastAsia="黑体" w:cs="黑体"/>
          <w:color w:val="auto"/>
          <w:kern w:val="0"/>
          <w:sz w:val="24"/>
          <w:szCs w:val="24"/>
          <w:highlight w:val="none"/>
          <w:u w:color="000000"/>
        </w:rPr>
      </w:pPr>
    </w:p>
    <w:p w14:paraId="1BC63E22">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r>
        <w:rPr>
          <w:rFonts w:hint="eastAsia" w:ascii="黑体" w:hAnsi="黑体" w:eastAsia="黑体" w:cs="黑体"/>
          <w:color w:val="auto"/>
          <w:kern w:val="0"/>
          <w:sz w:val="24"/>
          <w:szCs w:val="24"/>
          <w:highlight w:val="none"/>
          <w:u w:color="000000"/>
          <w:lang w:eastAsia="zh-CN"/>
        </w:rPr>
        <w:drawing>
          <wp:inline distT="0" distB="0" distL="114300" distR="114300">
            <wp:extent cx="3608070" cy="2706370"/>
            <wp:effectExtent l="0" t="0" r="11430" b="17780"/>
            <wp:docPr id="1" name="图片 1" descr="IMG_20250328_15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28_150821"/>
                    <pic:cNvPicPr>
                      <a:picLocks noChangeAspect="1"/>
                    </pic:cNvPicPr>
                  </pic:nvPicPr>
                  <pic:blipFill>
                    <a:blip r:embed="rId4"/>
                    <a:stretch>
                      <a:fillRect/>
                    </a:stretch>
                  </pic:blipFill>
                  <pic:spPr>
                    <a:xfrm>
                      <a:off x="0" y="0"/>
                      <a:ext cx="3608070" cy="2706370"/>
                    </a:xfrm>
                    <a:prstGeom prst="rect">
                      <a:avLst/>
                    </a:prstGeom>
                  </pic:spPr>
                </pic:pic>
              </a:graphicData>
            </a:graphic>
          </wp:inline>
        </w:drawing>
      </w:r>
    </w:p>
    <w:p w14:paraId="010B4A5F">
      <w:pPr>
        <w:jc w:val="center"/>
        <w:rPr>
          <w:rFonts w:hint="default"/>
          <w:lang w:val="en-US" w:eastAsia="zh-CN"/>
        </w:rPr>
      </w:pPr>
      <w:r>
        <w:rPr>
          <w:rFonts w:hint="default"/>
          <w:lang w:val="en-US" w:eastAsia="zh-CN"/>
        </w:rPr>
        <w:drawing>
          <wp:inline distT="0" distB="0" distL="114300" distR="114300">
            <wp:extent cx="3021965" cy="2266315"/>
            <wp:effectExtent l="0" t="0" r="6985" b="635"/>
            <wp:docPr id="2" name="图片 2" descr="IMG_20250328_15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28_150645"/>
                    <pic:cNvPicPr>
                      <a:picLocks noChangeAspect="1"/>
                    </pic:cNvPicPr>
                  </pic:nvPicPr>
                  <pic:blipFill>
                    <a:blip r:embed="rId5"/>
                    <a:stretch>
                      <a:fillRect/>
                    </a:stretch>
                  </pic:blipFill>
                  <pic:spPr>
                    <a:xfrm>
                      <a:off x="0" y="0"/>
                      <a:ext cx="3021965" cy="2266315"/>
                    </a:xfrm>
                    <a:prstGeom prst="rect">
                      <a:avLst/>
                    </a:prstGeom>
                  </pic:spPr>
                </pic:pic>
              </a:graphicData>
            </a:graphic>
          </wp:inline>
        </w:drawing>
      </w:r>
      <w:r>
        <w:rPr>
          <w:rFonts w:hint="default"/>
          <w:lang w:val="en-US" w:eastAsia="zh-CN"/>
        </w:rPr>
        <w:drawing>
          <wp:inline distT="0" distB="0" distL="114300" distR="114300">
            <wp:extent cx="2476500" cy="4403725"/>
            <wp:effectExtent l="0" t="0" r="0" b="15875"/>
            <wp:docPr id="3" name="图片 3" descr="aac4b9e0cf6b9c310e875f32873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c4b9e0cf6b9c310e875f328730218"/>
                    <pic:cNvPicPr>
                      <a:picLocks noChangeAspect="1"/>
                    </pic:cNvPicPr>
                  </pic:nvPicPr>
                  <pic:blipFill>
                    <a:blip r:embed="rId6"/>
                    <a:stretch>
                      <a:fillRect/>
                    </a:stretch>
                  </pic:blipFill>
                  <pic:spPr>
                    <a:xfrm>
                      <a:off x="0" y="0"/>
                      <a:ext cx="2476500" cy="4403725"/>
                    </a:xfrm>
                    <a:prstGeom prst="rect">
                      <a:avLst/>
                    </a:prstGeom>
                  </pic:spPr>
                </pic:pic>
              </a:graphicData>
            </a:graphic>
          </wp:inline>
        </w:drawing>
      </w:r>
      <w:bookmarkStart w:id="54" w:name="_GoBack"/>
      <w:r>
        <w:rPr>
          <w:rFonts w:hint="default"/>
          <w:lang w:val="en-US" w:eastAsia="zh-CN"/>
        </w:rPr>
        <w:drawing>
          <wp:inline distT="0" distB="0" distL="114300" distR="114300">
            <wp:extent cx="3056255" cy="4716145"/>
            <wp:effectExtent l="0" t="0" r="10795" b="8255"/>
            <wp:docPr id="4" name="图片 4" descr="94a63ea8ba78daeb32ffb316737d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a63ea8ba78daeb32ffb316737d973"/>
                    <pic:cNvPicPr>
                      <a:picLocks noChangeAspect="1"/>
                    </pic:cNvPicPr>
                  </pic:nvPicPr>
                  <pic:blipFill>
                    <a:blip r:embed="rId7"/>
                    <a:stretch>
                      <a:fillRect/>
                    </a:stretch>
                  </pic:blipFill>
                  <pic:spPr>
                    <a:xfrm>
                      <a:off x="0" y="0"/>
                      <a:ext cx="3056255" cy="4716145"/>
                    </a:xfrm>
                    <a:prstGeom prst="rect">
                      <a:avLst/>
                    </a:prstGeom>
                  </pic:spPr>
                </pic:pic>
              </a:graphicData>
            </a:graphic>
          </wp:inline>
        </w:drawing>
      </w:r>
      <w:r>
        <w:rPr>
          <w:rFonts w:hint="default"/>
          <w:lang w:val="en-US" w:eastAsia="zh-CN"/>
        </w:rPr>
        <w:drawing>
          <wp:inline distT="0" distB="0" distL="114300" distR="114300">
            <wp:extent cx="2491105" cy="4429125"/>
            <wp:effectExtent l="0" t="0" r="4445" b="9525"/>
            <wp:docPr id="7" name="图片 7" descr="dfc7095aa52aac52246e5589b554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fc7095aa52aac52246e5589b55496b"/>
                    <pic:cNvPicPr>
                      <a:picLocks noChangeAspect="1"/>
                    </pic:cNvPicPr>
                  </pic:nvPicPr>
                  <pic:blipFill>
                    <a:blip r:embed="rId8"/>
                    <a:stretch>
                      <a:fillRect/>
                    </a:stretch>
                  </pic:blipFill>
                  <pic:spPr>
                    <a:xfrm>
                      <a:off x="0" y="0"/>
                      <a:ext cx="2491105" cy="4429125"/>
                    </a:xfrm>
                    <a:prstGeom prst="rect">
                      <a:avLst/>
                    </a:prstGeom>
                  </pic:spPr>
                </pic:pic>
              </a:graphicData>
            </a:graphic>
          </wp:inline>
        </w:drawing>
      </w:r>
      <w:bookmarkEnd w:id="54"/>
      <w:r>
        <w:rPr>
          <w:rFonts w:hint="default"/>
          <w:lang w:val="en-US" w:eastAsia="zh-CN"/>
        </w:rPr>
        <w:drawing>
          <wp:inline distT="0" distB="0" distL="114300" distR="114300">
            <wp:extent cx="1804670" cy="2350135"/>
            <wp:effectExtent l="0" t="0" r="5080" b="12065"/>
            <wp:docPr id="5" name="图片 5" descr="174356016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3560167446"/>
                    <pic:cNvPicPr>
                      <a:picLocks noChangeAspect="1"/>
                    </pic:cNvPicPr>
                  </pic:nvPicPr>
                  <pic:blipFill>
                    <a:blip r:embed="rId9"/>
                    <a:stretch>
                      <a:fillRect/>
                    </a:stretch>
                  </pic:blipFill>
                  <pic:spPr>
                    <a:xfrm>
                      <a:off x="0" y="0"/>
                      <a:ext cx="1804670" cy="2350135"/>
                    </a:xfrm>
                    <a:prstGeom prst="rect">
                      <a:avLst/>
                    </a:prstGeom>
                  </pic:spPr>
                </pic:pic>
              </a:graphicData>
            </a:graphic>
          </wp:inline>
        </w:drawing>
      </w:r>
      <w:r>
        <w:rPr>
          <w:rFonts w:hint="default"/>
          <w:lang w:val="en-US" w:eastAsia="zh-CN"/>
        </w:rPr>
        <w:drawing>
          <wp:inline distT="0" distB="0" distL="114300" distR="114300">
            <wp:extent cx="2851150" cy="1604010"/>
            <wp:effectExtent l="0" t="0" r="15240" b="6350"/>
            <wp:docPr id="6" name="图片 6" descr="20a75ea9f95ddb1ffda0d54d652f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a75ea9f95ddb1ffda0d54d652fa10"/>
                    <pic:cNvPicPr>
                      <a:picLocks noChangeAspect="1"/>
                    </pic:cNvPicPr>
                  </pic:nvPicPr>
                  <pic:blipFill>
                    <a:blip r:embed="rId10"/>
                    <a:stretch>
                      <a:fillRect/>
                    </a:stretch>
                  </pic:blipFill>
                  <pic:spPr>
                    <a:xfrm rot="5400000">
                      <a:off x="0" y="0"/>
                      <a:ext cx="2851150" cy="1604010"/>
                    </a:xfrm>
                    <a:prstGeom prst="rect">
                      <a:avLst/>
                    </a:prstGeom>
                  </pic:spPr>
                </pic:pic>
              </a:graphicData>
            </a:graphic>
          </wp:inline>
        </w:drawing>
      </w:r>
      <w:r>
        <w:rPr>
          <w:rFonts w:hint="default"/>
          <w:lang w:val="en-US" w:eastAsia="zh-CN"/>
        </w:rPr>
        <w:drawing>
          <wp:inline distT="0" distB="0" distL="114300" distR="114300">
            <wp:extent cx="2524760" cy="4489450"/>
            <wp:effectExtent l="0" t="0" r="8890" b="6350"/>
            <wp:docPr id="8" name="图片 8" descr="eb263fe161934db88755b818d7f0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b263fe161934db88755b818d7f02eb"/>
                    <pic:cNvPicPr>
                      <a:picLocks noChangeAspect="1"/>
                    </pic:cNvPicPr>
                  </pic:nvPicPr>
                  <pic:blipFill>
                    <a:blip r:embed="rId11"/>
                    <a:stretch>
                      <a:fillRect/>
                    </a:stretch>
                  </pic:blipFill>
                  <pic:spPr>
                    <a:xfrm>
                      <a:off x="0" y="0"/>
                      <a:ext cx="2524760" cy="448945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D101598"/>
    <w:rsid w:val="0EDC1223"/>
    <w:rsid w:val="12386C7D"/>
    <w:rsid w:val="13D12EE6"/>
    <w:rsid w:val="153C4810"/>
    <w:rsid w:val="16BC1C2B"/>
    <w:rsid w:val="1C4A2E55"/>
    <w:rsid w:val="1DE92E23"/>
    <w:rsid w:val="1E1E483E"/>
    <w:rsid w:val="1FF73CD4"/>
    <w:rsid w:val="22CB7136"/>
    <w:rsid w:val="2369609F"/>
    <w:rsid w:val="284F788D"/>
    <w:rsid w:val="2A9D36CA"/>
    <w:rsid w:val="2E5E68CC"/>
    <w:rsid w:val="2EC41433"/>
    <w:rsid w:val="2F917EEC"/>
    <w:rsid w:val="31297B3A"/>
    <w:rsid w:val="334F09C6"/>
    <w:rsid w:val="33DD1B5F"/>
    <w:rsid w:val="355F439E"/>
    <w:rsid w:val="35CC29B8"/>
    <w:rsid w:val="361E3E5D"/>
    <w:rsid w:val="37A6654A"/>
    <w:rsid w:val="38B36882"/>
    <w:rsid w:val="3BB85D78"/>
    <w:rsid w:val="3C176B62"/>
    <w:rsid w:val="420C1409"/>
    <w:rsid w:val="43CB4C37"/>
    <w:rsid w:val="4706325F"/>
    <w:rsid w:val="47290367"/>
    <w:rsid w:val="48FE4AE5"/>
    <w:rsid w:val="4ECC7680"/>
    <w:rsid w:val="4F5D6EDB"/>
    <w:rsid w:val="4F647450"/>
    <w:rsid w:val="537F016A"/>
    <w:rsid w:val="55754961"/>
    <w:rsid w:val="563D798B"/>
    <w:rsid w:val="567C6788"/>
    <w:rsid w:val="579A241E"/>
    <w:rsid w:val="58840D76"/>
    <w:rsid w:val="5C8B1D2D"/>
    <w:rsid w:val="5D511379"/>
    <w:rsid w:val="60FB542C"/>
    <w:rsid w:val="636808F8"/>
    <w:rsid w:val="64FD4259"/>
    <w:rsid w:val="6A640607"/>
    <w:rsid w:val="6AD40467"/>
    <w:rsid w:val="6B3179BA"/>
    <w:rsid w:val="6B8042CE"/>
    <w:rsid w:val="6BF95CAB"/>
    <w:rsid w:val="6C4D48B3"/>
    <w:rsid w:val="6D0669CA"/>
    <w:rsid w:val="6FDF53A7"/>
    <w:rsid w:val="717A11AE"/>
    <w:rsid w:val="72AF4765"/>
    <w:rsid w:val="72FD2CFB"/>
    <w:rsid w:val="74AE7C8C"/>
    <w:rsid w:val="74C13919"/>
    <w:rsid w:val="76511CAD"/>
    <w:rsid w:val="7772596D"/>
    <w:rsid w:val="77FB57C2"/>
    <w:rsid w:val="788E5851"/>
    <w:rsid w:val="7AB02F22"/>
    <w:rsid w:val="7C9C2DAE"/>
    <w:rsid w:val="7DC2613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sz w:val="24"/>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2704</Words>
  <Characters>2945</Characters>
  <Lines>0</Lines>
  <Paragraphs>0</Paragraphs>
  <TotalTime>1</TotalTime>
  <ScaleCrop>false</ScaleCrop>
  <LinksUpToDate>false</LinksUpToDate>
  <CharactersWithSpaces>2961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