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609" w:rsidRDefault="00FB42E9">
      <w:pPr>
        <w:jc w:val="center"/>
        <w:rPr>
          <w:rFonts w:ascii="黑体" w:eastAsia="黑体" w:hAnsi="黑体" w:cs="黑体"/>
          <w:sz w:val="28"/>
          <w:szCs w:val="28"/>
        </w:rPr>
      </w:pPr>
      <w:r>
        <w:rPr>
          <w:rFonts w:ascii="黑体" w:eastAsia="黑体" w:hAnsi="黑体" w:cs="黑体" w:hint="eastAsia"/>
          <w:sz w:val="28"/>
          <w:szCs w:val="28"/>
        </w:rPr>
        <w:t>安全评价项目信息表</w:t>
      </w:r>
    </w:p>
    <w:p w:rsidR="00F54609" w:rsidRDefault="00FB42E9">
      <w:pPr>
        <w:rPr>
          <w:szCs w:val="21"/>
        </w:rPr>
      </w:pPr>
      <w:r>
        <w:rPr>
          <w:rFonts w:hint="eastAsia"/>
          <w:szCs w:val="21"/>
        </w:rPr>
        <w:t>项目编号：</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68" w:type="dxa"/>
          <w:bottom w:w="68" w:type="dxa"/>
        </w:tblCellMar>
        <w:tblLook w:val="04A0" w:firstRow="1" w:lastRow="0" w:firstColumn="1" w:lastColumn="0" w:noHBand="0" w:noVBand="1"/>
      </w:tblPr>
      <w:tblGrid>
        <w:gridCol w:w="1832"/>
        <w:gridCol w:w="2188"/>
        <w:gridCol w:w="2350"/>
        <w:gridCol w:w="2918"/>
      </w:tblGrid>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项目名称</w:t>
            </w:r>
          </w:p>
        </w:tc>
        <w:tc>
          <w:tcPr>
            <w:tcW w:w="7456" w:type="dxa"/>
            <w:gridSpan w:val="3"/>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新泰市明信加油站</w:t>
            </w:r>
            <w:r>
              <w:rPr>
                <w:rFonts w:ascii="宋体" w:hint="eastAsia"/>
              </w:rPr>
              <w:t>经营危险化学品现状评价</w:t>
            </w:r>
          </w:p>
        </w:tc>
      </w:tr>
      <w:tr w:rsidR="00F54609">
        <w:trPr>
          <w:trHeight w:val="2451"/>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项目简介</w:t>
            </w:r>
          </w:p>
        </w:tc>
        <w:tc>
          <w:tcPr>
            <w:tcW w:w="7456" w:type="dxa"/>
            <w:gridSpan w:val="3"/>
            <w:tcBorders>
              <w:tl2br w:val="nil"/>
              <w:tr2bl w:val="nil"/>
            </w:tcBorders>
            <w:shd w:val="clear" w:color="auto" w:fill="auto"/>
            <w:noWrap/>
            <w:vAlign w:val="center"/>
          </w:tcPr>
          <w:p w:rsidR="00F54609" w:rsidRDefault="00FB42E9">
            <w:pPr>
              <w:adjustRightInd w:val="0"/>
              <w:snapToGrid w:val="0"/>
              <w:rPr>
                <w:rFonts w:ascii="宋体" w:eastAsia="宋体" w:hAnsi="宋体" w:cs="宋体"/>
                <w:kern w:val="0"/>
                <w:szCs w:val="21"/>
              </w:rPr>
            </w:pPr>
            <w:r>
              <w:rPr>
                <w:rFonts w:ascii="宋体" w:hAnsi="宋体" w:hint="eastAsia"/>
                <w:sz w:val="20"/>
              </w:rPr>
              <w:t>新泰市明信加油站位于山东省泰安市新泰市楼德镇西村北楼良路路西，该站成立于</w:t>
            </w:r>
            <w:r>
              <w:rPr>
                <w:rFonts w:ascii="宋体" w:hAnsi="宋体" w:hint="eastAsia"/>
                <w:sz w:val="20"/>
              </w:rPr>
              <w:t>2018</w:t>
            </w:r>
            <w:r>
              <w:rPr>
                <w:rFonts w:ascii="宋体" w:hAnsi="宋体" w:hint="eastAsia"/>
                <w:sz w:val="20"/>
              </w:rPr>
              <w:t>年</w:t>
            </w:r>
            <w:r>
              <w:rPr>
                <w:rFonts w:ascii="宋体" w:hAnsi="宋体" w:hint="eastAsia"/>
                <w:sz w:val="20"/>
              </w:rPr>
              <w:t>03</w:t>
            </w:r>
            <w:r>
              <w:rPr>
                <w:rFonts w:ascii="宋体" w:hAnsi="宋体" w:hint="eastAsia"/>
                <w:sz w:val="20"/>
              </w:rPr>
              <w:t>月</w:t>
            </w:r>
            <w:r>
              <w:rPr>
                <w:rFonts w:ascii="宋体" w:hAnsi="宋体" w:hint="eastAsia"/>
                <w:sz w:val="20"/>
              </w:rPr>
              <w:t>09</w:t>
            </w:r>
            <w:r>
              <w:rPr>
                <w:rFonts w:ascii="宋体" w:hAnsi="宋体" w:hint="eastAsia"/>
                <w:sz w:val="20"/>
              </w:rPr>
              <w:t>日。该站北侧为民房，西侧为农田，东侧</w:t>
            </w:r>
            <w:proofErr w:type="gramStart"/>
            <w:r>
              <w:rPr>
                <w:rFonts w:ascii="宋体" w:hAnsi="宋体" w:hint="eastAsia"/>
                <w:sz w:val="20"/>
              </w:rPr>
              <w:t>为楼良路</w:t>
            </w:r>
            <w:proofErr w:type="gramEnd"/>
            <w:r>
              <w:rPr>
                <w:rFonts w:ascii="宋体" w:hAnsi="宋体" w:hint="eastAsia"/>
                <w:sz w:val="20"/>
              </w:rPr>
              <w:t>、架空通信线和架空电力线，南侧为村内小路和民房。该站经营许可范围为汽油、柴油，现其主要经营汽油、柴油（</w:t>
            </w:r>
            <w:r>
              <w:rPr>
                <w:rFonts w:ascii="宋体" w:hAnsi="宋体" w:hint="eastAsia"/>
                <w:sz w:val="20"/>
              </w:rPr>
              <w:t>0#</w:t>
            </w:r>
            <w:r>
              <w:rPr>
                <w:rFonts w:ascii="宋体" w:hAnsi="宋体" w:hint="eastAsia"/>
                <w:sz w:val="20"/>
              </w:rPr>
              <w:t>与</w:t>
            </w:r>
            <w:r>
              <w:rPr>
                <w:rFonts w:ascii="宋体" w:hAnsi="宋体" w:hint="eastAsia"/>
                <w:sz w:val="20"/>
              </w:rPr>
              <w:t>-10#</w:t>
            </w:r>
            <w:r>
              <w:rPr>
                <w:rFonts w:ascii="宋体" w:hAnsi="宋体" w:hint="eastAsia"/>
                <w:sz w:val="20"/>
              </w:rPr>
              <w:t>换季销售）。此次现状评价报告与三年前报告相比，该站周边环境未发生变化，加油站北侧新增洗车间、</w:t>
            </w:r>
            <w:proofErr w:type="gramStart"/>
            <w:r>
              <w:rPr>
                <w:rFonts w:ascii="宋体" w:hAnsi="宋体" w:hint="eastAsia"/>
                <w:sz w:val="20"/>
              </w:rPr>
              <w:t>危废间</w:t>
            </w:r>
            <w:proofErr w:type="gramEnd"/>
            <w:r>
              <w:rPr>
                <w:rFonts w:ascii="宋体" w:hAnsi="宋体" w:hint="eastAsia"/>
                <w:sz w:val="20"/>
              </w:rPr>
              <w:t>，原有</w:t>
            </w:r>
            <w:r>
              <w:rPr>
                <w:rFonts w:ascii="宋体" w:hAnsi="宋体" w:hint="eastAsia"/>
                <w:sz w:val="20"/>
              </w:rPr>
              <w:t>95#</w:t>
            </w:r>
            <w:r>
              <w:rPr>
                <w:rFonts w:ascii="宋体" w:hAnsi="宋体" w:hint="eastAsia"/>
                <w:sz w:val="20"/>
              </w:rPr>
              <w:t>汽油更换为</w:t>
            </w:r>
            <w:r>
              <w:rPr>
                <w:rFonts w:ascii="宋体" w:hAnsi="宋体" w:hint="eastAsia"/>
                <w:sz w:val="20"/>
              </w:rPr>
              <w:t>92#</w:t>
            </w:r>
            <w:r>
              <w:rPr>
                <w:rFonts w:ascii="宋体" w:hAnsi="宋体" w:hint="eastAsia"/>
                <w:sz w:val="20"/>
              </w:rPr>
              <w:t>汽油。该加油站主要建有站房、油罐区、加油区。加油区在站房东侧，现有</w:t>
            </w:r>
            <w:r>
              <w:rPr>
                <w:rFonts w:ascii="宋体" w:hAnsi="宋体" w:hint="eastAsia"/>
                <w:sz w:val="20"/>
              </w:rPr>
              <w:t>4</w:t>
            </w:r>
            <w:r>
              <w:rPr>
                <w:rFonts w:ascii="宋体" w:hAnsi="宋体" w:hint="eastAsia"/>
                <w:sz w:val="20"/>
              </w:rPr>
              <w:t>台双枪加油机，均为自吸式；油罐区在站房</w:t>
            </w:r>
            <w:proofErr w:type="gramStart"/>
            <w:r>
              <w:rPr>
                <w:rFonts w:ascii="宋体" w:hAnsi="宋体" w:hint="eastAsia"/>
                <w:sz w:val="20"/>
              </w:rPr>
              <w:t>北侧非</w:t>
            </w:r>
            <w:proofErr w:type="gramEnd"/>
            <w:r>
              <w:rPr>
                <w:rFonts w:ascii="宋体" w:hAnsi="宋体" w:hint="eastAsia"/>
                <w:sz w:val="20"/>
              </w:rPr>
              <w:t>行车道下，现有</w:t>
            </w:r>
            <w:r>
              <w:rPr>
                <w:rFonts w:ascii="宋体" w:hAnsi="宋体" w:hint="eastAsia"/>
                <w:sz w:val="20"/>
              </w:rPr>
              <w:t>4</w:t>
            </w:r>
            <w:r>
              <w:rPr>
                <w:rFonts w:ascii="宋体" w:hAnsi="宋体" w:hint="eastAsia"/>
                <w:sz w:val="20"/>
              </w:rPr>
              <w:t>台</w:t>
            </w:r>
            <w:r>
              <w:rPr>
                <w:rFonts w:ascii="宋体" w:hAnsi="宋体" w:hint="eastAsia"/>
                <w:sz w:val="20"/>
              </w:rPr>
              <w:t>30</w:t>
            </w:r>
            <w:r>
              <w:rPr>
                <w:rFonts w:ascii="宋体" w:hAnsi="宋体" w:hint="eastAsia"/>
                <w:sz w:val="20"/>
              </w:rPr>
              <w:t>m3</w:t>
            </w:r>
            <w:r>
              <w:rPr>
                <w:rFonts w:ascii="宋体" w:hAnsi="宋体" w:hint="eastAsia"/>
                <w:sz w:val="20"/>
              </w:rPr>
              <w:t>埋地双层储罐（包括</w:t>
            </w:r>
            <w:r>
              <w:rPr>
                <w:rFonts w:ascii="宋体" w:hAnsi="宋体" w:hint="eastAsia"/>
                <w:sz w:val="20"/>
              </w:rPr>
              <w:t>2</w:t>
            </w:r>
            <w:r>
              <w:rPr>
                <w:rFonts w:ascii="宋体" w:hAnsi="宋体" w:hint="eastAsia"/>
                <w:sz w:val="20"/>
              </w:rPr>
              <w:t>台</w:t>
            </w:r>
            <w:r>
              <w:rPr>
                <w:rFonts w:ascii="宋体" w:hAnsi="宋体" w:hint="eastAsia"/>
                <w:sz w:val="20"/>
              </w:rPr>
              <w:t>92#</w:t>
            </w:r>
            <w:r>
              <w:rPr>
                <w:rFonts w:ascii="宋体" w:hAnsi="宋体" w:hint="eastAsia"/>
                <w:sz w:val="20"/>
              </w:rPr>
              <w:t>汽油罐、</w:t>
            </w:r>
            <w:r>
              <w:rPr>
                <w:rFonts w:ascii="宋体" w:hAnsi="宋体" w:hint="eastAsia"/>
                <w:sz w:val="20"/>
              </w:rPr>
              <w:t>2</w:t>
            </w:r>
            <w:r>
              <w:rPr>
                <w:rFonts w:ascii="宋体" w:hAnsi="宋体" w:hint="eastAsia"/>
                <w:sz w:val="20"/>
              </w:rPr>
              <w:t>台柴油罐），</w:t>
            </w:r>
            <w:r>
              <w:rPr>
                <w:rFonts w:ascii="宋体" w:hAnsi="宋体" w:hint="eastAsia"/>
                <w:sz w:val="20"/>
              </w:rPr>
              <w:t>4</w:t>
            </w:r>
            <w:r>
              <w:rPr>
                <w:rFonts w:ascii="宋体" w:hAnsi="宋体" w:hint="eastAsia"/>
                <w:sz w:val="20"/>
              </w:rPr>
              <w:t>台油罐均安装了液位仪、检漏仪，其油罐埋地设置，通气管</w:t>
            </w:r>
            <w:r>
              <w:rPr>
                <w:rFonts w:ascii="宋体" w:hAnsi="宋体" w:hint="eastAsia"/>
                <w:sz w:val="20"/>
              </w:rPr>
              <w:t>4</w:t>
            </w:r>
            <w:r>
              <w:rPr>
                <w:rFonts w:ascii="宋体" w:hAnsi="宋体" w:hint="eastAsia"/>
                <w:sz w:val="20"/>
              </w:rPr>
              <w:t>根；该站汽油设有加油、卸油油气回收系统及油气处理装置（三次油气回收系统）；按《汽车加油加气加氢站技术标准》</w:t>
            </w:r>
            <w:r>
              <w:rPr>
                <w:rFonts w:ascii="宋体" w:hAnsi="宋体" w:hint="eastAsia"/>
                <w:sz w:val="20"/>
              </w:rPr>
              <w:t>GB50156-2021</w:t>
            </w:r>
            <w:r>
              <w:rPr>
                <w:rFonts w:ascii="宋体" w:hAnsi="宋体" w:hint="eastAsia"/>
                <w:sz w:val="20"/>
              </w:rPr>
              <w:t>标准规定：</w:t>
            </w:r>
            <w:r>
              <w:rPr>
                <w:rFonts w:ascii="宋体" w:hAnsi="宋体" w:hint="eastAsia"/>
                <w:sz w:val="20"/>
              </w:rPr>
              <w:t>V=90m3</w:t>
            </w:r>
            <w:r>
              <w:rPr>
                <w:rFonts w:ascii="宋体" w:hAnsi="宋体" w:hint="eastAsia"/>
                <w:sz w:val="20"/>
              </w:rPr>
              <w:t>，该站属三级加油站。</w:t>
            </w:r>
          </w:p>
        </w:tc>
      </w:tr>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评价人员</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姓</w:t>
            </w:r>
            <w:r>
              <w:rPr>
                <w:rFonts w:ascii="宋体" w:eastAsia="宋体" w:hAnsi="宋体" w:cs="宋体" w:hint="eastAsia"/>
                <w:kern w:val="0"/>
                <w:szCs w:val="21"/>
              </w:rPr>
              <w:t xml:space="preserve">  </w:t>
            </w:r>
            <w:r>
              <w:rPr>
                <w:rFonts w:ascii="宋体" w:eastAsia="宋体" w:hAnsi="宋体" w:cs="宋体" w:hint="eastAsia"/>
                <w:kern w:val="0"/>
                <w:szCs w:val="21"/>
              </w:rPr>
              <w:t>名</w:t>
            </w:r>
          </w:p>
        </w:tc>
        <w:tc>
          <w:tcPr>
            <w:tcW w:w="291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备注</w:t>
            </w:r>
          </w:p>
        </w:tc>
      </w:tr>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项目负责人</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vMerge w:val="restart"/>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项目组成员</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刘卫国</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vMerge/>
            <w:tcBorders>
              <w:tl2br w:val="nil"/>
              <w:tr2bl w:val="nil"/>
            </w:tcBorders>
            <w:shd w:val="clear" w:color="auto" w:fill="auto"/>
            <w:vAlign w:val="center"/>
          </w:tcPr>
          <w:p w:rsidR="00F54609" w:rsidRDefault="00F54609">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vMerge/>
            <w:tcBorders>
              <w:tl2br w:val="nil"/>
              <w:tr2bl w:val="nil"/>
            </w:tcBorders>
            <w:shd w:val="clear" w:color="auto" w:fill="auto"/>
            <w:vAlign w:val="center"/>
          </w:tcPr>
          <w:p w:rsidR="00F54609" w:rsidRDefault="00F54609">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郝大平</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vMerge/>
            <w:tcBorders>
              <w:tl2br w:val="nil"/>
              <w:tr2bl w:val="nil"/>
            </w:tcBorders>
            <w:shd w:val="clear" w:color="auto" w:fill="auto"/>
            <w:vAlign w:val="center"/>
          </w:tcPr>
          <w:p w:rsidR="00F54609" w:rsidRDefault="00F54609">
            <w:pPr>
              <w:autoSpaceDE w:val="0"/>
              <w:autoSpaceDN w:val="0"/>
              <w:adjustRightInd w:val="0"/>
              <w:snapToGrid w:val="0"/>
              <w:jc w:val="center"/>
              <w:rPr>
                <w:rFonts w:ascii="宋体" w:eastAsia="宋体" w:hAnsi="宋体" w:cs="宋体"/>
                <w:kern w:val="0"/>
                <w:szCs w:val="21"/>
              </w:rPr>
            </w:pP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lang w:eastAsia="en-US"/>
              </w:rPr>
            </w:pPr>
            <w:r>
              <w:rPr>
                <w:rFonts w:ascii="宋体" w:eastAsia="宋体" w:hAnsi="宋体" w:cs="宋体" w:hint="eastAsia"/>
                <w:kern w:val="0"/>
                <w:szCs w:val="21"/>
              </w:rPr>
              <w:t>王</w:t>
            </w:r>
            <w:r>
              <w:rPr>
                <w:rFonts w:ascii="宋体" w:eastAsia="宋体" w:hAnsi="宋体" w:cs="宋体" w:hint="eastAsia"/>
                <w:kern w:val="0"/>
                <w:szCs w:val="21"/>
              </w:rPr>
              <w:t xml:space="preserve">  </w:t>
            </w:r>
            <w:r>
              <w:rPr>
                <w:rFonts w:ascii="宋体" w:eastAsia="宋体" w:hAnsi="宋体" w:cs="宋体" w:hint="eastAsia"/>
                <w:kern w:val="0"/>
                <w:szCs w:val="21"/>
              </w:rPr>
              <w:t>静</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报告编制人</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报告审核人</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proofErr w:type="gramStart"/>
            <w:r>
              <w:rPr>
                <w:rFonts w:ascii="宋体" w:eastAsia="宋体" w:hAnsi="宋体" w:cs="宋体" w:hint="eastAsia"/>
                <w:kern w:val="0"/>
                <w:szCs w:val="21"/>
              </w:rPr>
              <w:t>崔</w:t>
            </w:r>
            <w:proofErr w:type="gramEnd"/>
            <w:r>
              <w:rPr>
                <w:rFonts w:ascii="宋体" w:eastAsia="宋体" w:hAnsi="宋体" w:cs="宋体" w:hint="eastAsia"/>
                <w:kern w:val="0"/>
                <w:szCs w:val="21"/>
              </w:rPr>
              <w:t xml:space="preserve">  </w:t>
            </w:r>
            <w:r>
              <w:rPr>
                <w:rFonts w:ascii="宋体" w:eastAsia="宋体" w:hAnsi="宋体" w:cs="宋体" w:hint="eastAsia"/>
                <w:kern w:val="0"/>
                <w:szCs w:val="21"/>
              </w:rPr>
              <w:t>强</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过程控制负责人</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刘云红</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技术负责人</w:t>
            </w:r>
          </w:p>
        </w:tc>
        <w:tc>
          <w:tcPr>
            <w:tcW w:w="4538" w:type="dxa"/>
            <w:gridSpan w:val="2"/>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赵云峰</w:t>
            </w:r>
          </w:p>
        </w:tc>
        <w:tc>
          <w:tcPr>
            <w:tcW w:w="2918" w:type="dxa"/>
            <w:tcBorders>
              <w:tl2br w:val="nil"/>
              <w:tr2bl w:val="nil"/>
            </w:tcBorders>
            <w:shd w:val="clear" w:color="auto" w:fill="auto"/>
            <w:noWrap/>
            <w:vAlign w:val="center"/>
          </w:tcPr>
          <w:p w:rsidR="00F54609" w:rsidRDefault="00F54609">
            <w:pPr>
              <w:autoSpaceDE w:val="0"/>
              <w:autoSpaceDN w:val="0"/>
              <w:adjustRightInd w:val="0"/>
              <w:snapToGrid w:val="0"/>
              <w:jc w:val="center"/>
              <w:rPr>
                <w:rFonts w:ascii="宋体" w:eastAsia="宋体" w:hAnsi="宋体" w:cs="宋体"/>
                <w:kern w:val="0"/>
                <w:szCs w:val="21"/>
              </w:rPr>
            </w:pPr>
          </w:p>
        </w:tc>
      </w:tr>
      <w:tr w:rsidR="00F54609">
        <w:trPr>
          <w:trHeight w:val="283"/>
          <w:jc w:val="center"/>
        </w:trPr>
        <w:tc>
          <w:tcPr>
            <w:tcW w:w="1832" w:type="dxa"/>
            <w:vMerge w:val="restart"/>
            <w:tcBorders>
              <w:tl2br w:val="nil"/>
              <w:tr2bl w:val="nil"/>
            </w:tcBorders>
            <w:shd w:val="clear" w:color="auto" w:fill="auto"/>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到现场开展安全</w:t>
            </w:r>
          </w:p>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评价工作情况</w:t>
            </w:r>
          </w:p>
        </w:tc>
        <w:tc>
          <w:tcPr>
            <w:tcW w:w="218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时</w:t>
            </w:r>
            <w:r>
              <w:rPr>
                <w:rFonts w:ascii="宋体" w:eastAsia="宋体" w:hAnsi="宋体" w:cs="宋体" w:hint="eastAsia"/>
                <w:kern w:val="0"/>
                <w:szCs w:val="21"/>
              </w:rPr>
              <w:t xml:space="preserve">  </w:t>
            </w:r>
            <w:r>
              <w:rPr>
                <w:rFonts w:ascii="宋体" w:eastAsia="宋体" w:hAnsi="宋体" w:cs="宋体" w:hint="eastAsia"/>
                <w:kern w:val="0"/>
                <w:szCs w:val="21"/>
              </w:rPr>
              <w:t>间</w:t>
            </w:r>
          </w:p>
        </w:tc>
        <w:tc>
          <w:tcPr>
            <w:tcW w:w="2350"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到现场主要人员</w:t>
            </w:r>
          </w:p>
        </w:tc>
        <w:tc>
          <w:tcPr>
            <w:tcW w:w="291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主要任务</w:t>
            </w:r>
          </w:p>
        </w:tc>
      </w:tr>
      <w:tr w:rsidR="00F54609">
        <w:trPr>
          <w:trHeight w:val="283"/>
          <w:jc w:val="center"/>
        </w:trPr>
        <w:tc>
          <w:tcPr>
            <w:tcW w:w="1832" w:type="dxa"/>
            <w:vMerge/>
            <w:tcBorders>
              <w:tl2br w:val="nil"/>
              <w:tr2bl w:val="nil"/>
            </w:tcBorders>
            <w:shd w:val="clear" w:color="auto" w:fill="auto"/>
            <w:vAlign w:val="center"/>
          </w:tcPr>
          <w:p w:rsidR="00F54609" w:rsidRDefault="00F54609">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2024.</w:t>
            </w:r>
            <w:r>
              <w:rPr>
                <w:rFonts w:ascii="宋体" w:eastAsia="宋体" w:hAnsi="宋体" w:cs="宋体" w:hint="eastAsia"/>
                <w:kern w:val="0"/>
                <w:szCs w:val="21"/>
              </w:rPr>
              <w:t>03.10</w:t>
            </w:r>
          </w:p>
        </w:tc>
        <w:tc>
          <w:tcPr>
            <w:tcW w:w="2350"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初访</w:t>
            </w:r>
          </w:p>
        </w:tc>
      </w:tr>
      <w:tr w:rsidR="00F54609">
        <w:trPr>
          <w:trHeight w:val="283"/>
          <w:jc w:val="center"/>
        </w:trPr>
        <w:tc>
          <w:tcPr>
            <w:tcW w:w="1832" w:type="dxa"/>
            <w:vMerge/>
            <w:tcBorders>
              <w:tl2br w:val="nil"/>
              <w:tr2bl w:val="nil"/>
            </w:tcBorders>
            <w:shd w:val="clear" w:color="auto" w:fill="auto"/>
            <w:vAlign w:val="center"/>
          </w:tcPr>
          <w:p w:rsidR="00F54609" w:rsidRDefault="00F54609">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w:t>
            </w:r>
            <w:r>
              <w:rPr>
                <w:rFonts w:ascii="宋体" w:eastAsia="宋体" w:hAnsi="宋体" w:cs="宋体" w:hint="eastAsia"/>
                <w:kern w:val="0"/>
                <w:szCs w:val="21"/>
              </w:rPr>
              <w:t>4</w:t>
            </w:r>
            <w:r>
              <w:rPr>
                <w:rFonts w:ascii="宋体" w:eastAsia="宋体" w:hAnsi="宋体" w:cs="宋体" w:hint="eastAsia"/>
                <w:kern w:val="0"/>
                <w:szCs w:val="21"/>
              </w:rPr>
              <w:t>.0</w:t>
            </w:r>
            <w:r>
              <w:rPr>
                <w:rFonts w:ascii="宋体" w:eastAsia="宋体" w:hAnsi="宋体" w:cs="宋体" w:hint="eastAsia"/>
                <w:kern w:val="0"/>
                <w:szCs w:val="21"/>
              </w:rPr>
              <w:t>4.15</w:t>
            </w:r>
          </w:p>
        </w:tc>
        <w:tc>
          <w:tcPr>
            <w:tcW w:w="2350"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现场考察</w:t>
            </w:r>
          </w:p>
        </w:tc>
      </w:tr>
      <w:tr w:rsidR="00F54609">
        <w:trPr>
          <w:trHeight w:val="283"/>
          <w:jc w:val="center"/>
        </w:trPr>
        <w:tc>
          <w:tcPr>
            <w:tcW w:w="1832" w:type="dxa"/>
            <w:vMerge/>
            <w:tcBorders>
              <w:tl2br w:val="nil"/>
              <w:tr2bl w:val="nil"/>
            </w:tcBorders>
            <w:shd w:val="clear" w:color="auto" w:fill="auto"/>
            <w:vAlign w:val="center"/>
          </w:tcPr>
          <w:p w:rsidR="00F54609" w:rsidRDefault="00F54609">
            <w:pPr>
              <w:autoSpaceDE w:val="0"/>
              <w:autoSpaceDN w:val="0"/>
              <w:adjustRightInd w:val="0"/>
              <w:snapToGrid w:val="0"/>
              <w:jc w:val="center"/>
              <w:rPr>
                <w:rFonts w:ascii="宋体" w:eastAsia="宋体" w:hAnsi="宋体" w:cs="宋体"/>
                <w:kern w:val="0"/>
                <w:szCs w:val="21"/>
              </w:rPr>
            </w:pPr>
          </w:p>
        </w:tc>
        <w:tc>
          <w:tcPr>
            <w:tcW w:w="218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2025.0</w:t>
            </w:r>
            <w:r>
              <w:rPr>
                <w:rFonts w:ascii="宋体" w:eastAsia="宋体" w:hAnsi="宋体" w:cs="宋体" w:hint="eastAsia"/>
                <w:kern w:val="0"/>
                <w:szCs w:val="21"/>
              </w:rPr>
              <w:t>4.16</w:t>
            </w:r>
          </w:p>
        </w:tc>
        <w:tc>
          <w:tcPr>
            <w:tcW w:w="2350"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刘振忠</w:t>
            </w:r>
            <w:r>
              <w:rPr>
                <w:rFonts w:ascii="宋体" w:eastAsia="宋体" w:hAnsi="宋体" w:cs="宋体" w:hint="eastAsia"/>
                <w:kern w:val="0"/>
                <w:szCs w:val="21"/>
              </w:rPr>
              <w:t xml:space="preserve"> </w:t>
            </w:r>
            <w:r>
              <w:rPr>
                <w:rFonts w:ascii="宋体" w:eastAsia="宋体" w:hAnsi="宋体" w:cs="宋体" w:hint="eastAsia"/>
                <w:kern w:val="0"/>
                <w:szCs w:val="21"/>
              </w:rPr>
              <w:t>马琳</w:t>
            </w:r>
            <w:proofErr w:type="gramStart"/>
            <w:r>
              <w:rPr>
                <w:rFonts w:ascii="宋体" w:eastAsia="宋体" w:hAnsi="宋体" w:cs="宋体" w:hint="eastAsia"/>
                <w:kern w:val="0"/>
                <w:szCs w:val="21"/>
              </w:rPr>
              <w:t>琳</w:t>
            </w:r>
            <w:proofErr w:type="gramEnd"/>
          </w:p>
        </w:tc>
        <w:tc>
          <w:tcPr>
            <w:tcW w:w="2918" w:type="dxa"/>
            <w:tcBorders>
              <w:tl2br w:val="nil"/>
              <w:tr2bl w:val="nil"/>
            </w:tcBorders>
            <w:shd w:val="clear" w:color="auto" w:fill="auto"/>
            <w:noWrap/>
            <w:vAlign w:val="center"/>
          </w:tcPr>
          <w:p w:rsidR="00F54609" w:rsidRDefault="00FB42E9">
            <w:pPr>
              <w:autoSpaceDE w:val="0"/>
              <w:autoSpaceDN w:val="0"/>
              <w:adjustRightInd w:val="0"/>
              <w:snapToGrid w:val="0"/>
              <w:jc w:val="center"/>
              <w:rPr>
                <w:rFonts w:ascii="宋体" w:eastAsia="宋体" w:hAnsi="宋体" w:cs="宋体"/>
                <w:kern w:val="0"/>
                <w:szCs w:val="21"/>
              </w:rPr>
            </w:pPr>
            <w:r>
              <w:rPr>
                <w:rFonts w:ascii="宋体" w:eastAsia="宋体" w:hAnsi="宋体" w:cs="宋体" w:hint="eastAsia"/>
                <w:kern w:val="0"/>
                <w:szCs w:val="21"/>
              </w:rPr>
              <w:t>现场检查</w:t>
            </w:r>
          </w:p>
        </w:tc>
      </w:tr>
      <w:tr w:rsidR="00F54609">
        <w:trPr>
          <w:trHeight w:val="283"/>
          <w:jc w:val="center"/>
        </w:trPr>
        <w:tc>
          <w:tcPr>
            <w:tcW w:w="9288" w:type="dxa"/>
            <w:gridSpan w:val="4"/>
            <w:tcBorders>
              <w:tl2br w:val="nil"/>
              <w:tr2bl w:val="nil"/>
            </w:tcBorders>
            <w:shd w:val="clear" w:color="auto" w:fill="auto"/>
            <w:vAlign w:val="center"/>
          </w:tcPr>
          <w:p w:rsidR="00F54609" w:rsidRDefault="00FB42E9">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安全评价报告提交时间：</w:t>
            </w:r>
            <w:r>
              <w:rPr>
                <w:rFonts w:ascii="宋体" w:eastAsia="宋体" w:hAnsi="宋体" w:cs="宋体" w:hint="eastAsia"/>
                <w:kern w:val="0"/>
                <w:szCs w:val="21"/>
              </w:rPr>
              <w:t>202</w:t>
            </w:r>
            <w:r>
              <w:rPr>
                <w:rFonts w:ascii="宋体" w:eastAsia="宋体" w:hAnsi="宋体" w:cs="宋体" w:hint="eastAsia"/>
                <w:kern w:val="0"/>
                <w:szCs w:val="21"/>
              </w:rPr>
              <w:t>4</w:t>
            </w:r>
            <w:r>
              <w:rPr>
                <w:rFonts w:ascii="宋体" w:eastAsia="宋体" w:hAnsi="宋体" w:cs="宋体" w:hint="eastAsia"/>
                <w:kern w:val="0"/>
                <w:szCs w:val="21"/>
              </w:rPr>
              <w:t>.0</w:t>
            </w:r>
            <w:r>
              <w:rPr>
                <w:rFonts w:ascii="宋体" w:eastAsia="宋体" w:hAnsi="宋体" w:cs="宋体" w:hint="eastAsia"/>
                <w:kern w:val="0"/>
                <w:szCs w:val="21"/>
              </w:rPr>
              <w:t>5</w:t>
            </w:r>
            <w:r>
              <w:rPr>
                <w:rFonts w:ascii="宋体" w:eastAsia="宋体" w:hAnsi="宋体" w:cs="宋体" w:hint="eastAsia"/>
                <w:kern w:val="0"/>
                <w:szCs w:val="21"/>
              </w:rPr>
              <w:t>.</w:t>
            </w:r>
            <w:r>
              <w:rPr>
                <w:rFonts w:ascii="宋体" w:eastAsia="宋体" w:hAnsi="宋体" w:cs="宋体" w:hint="eastAsia"/>
                <w:kern w:val="0"/>
                <w:szCs w:val="21"/>
              </w:rPr>
              <w:t>07</w:t>
            </w:r>
          </w:p>
        </w:tc>
      </w:tr>
      <w:tr w:rsidR="00F54609">
        <w:trPr>
          <w:trHeight w:val="283"/>
          <w:jc w:val="center"/>
        </w:trPr>
        <w:tc>
          <w:tcPr>
            <w:tcW w:w="9288" w:type="dxa"/>
            <w:gridSpan w:val="4"/>
            <w:tcBorders>
              <w:tl2br w:val="nil"/>
              <w:tr2bl w:val="nil"/>
            </w:tcBorders>
            <w:shd w:val="clear" w:color="auto" w:fill="auto"/>
            <w:vAlign w:val="center"/>
          </w:tcPr>
          <w:p w:rsidR="00F54609" w:rsidRDefault="00FB42E9">
            <w:pPr>
              <w:autoSpaceDE w:val="0"/>
              <w:autoSpaceDN w:val="0"/>
              <w:adjustRightInd w:val="0"/>
              <w:snapToGrid w:val="0"/>
              <w:jc w:val="left"/>
              <w:rPr>
                <w:rFonts w:ascii="宋体" w:eastAsia="宋体" w:hAnsi="宋体" w:cs="宋体"/>
                <w:kern w:val="0"/>
                <w:szCs w:val="21"/>
              </w:rPr>
            </w:pPr>
            <w:r>
              <w:rPr>
                <w:rFonts w:ascii="宋体" w:eastAsia="宋体" w:hAnsi="宋体" w:cs="宋体" w:hint="eastAsia"/>
                <w:kern w:val="0"/>
                <w:szCs w:val="21"/>
              </w:rPr>
              <w:t>有必要公开的其它内容：</w:t>
            </w:r>
          </w:p>
        </w:tc>
      </w:tr>
    </w:tbl>
    <w:p w:rsidR="00F54609" w:rsidRDefault="00FB42E9">
      <w:pPr>
        <w:rPr>
          <w:rFonts w:ascii="宋体" w:eastAsia="宋体" w:hAnsi="宋体" w:cs="宋体"/>
          <w:kern w:val="0"/>
          <w:sz w:val="24"/>
        </w:rPr>
      </w:pPr>
      <w:r>
        <w:rPr>
          <w:rFonts w:ascii="宋体" w:eastAsia="宋体" w:hAnsi="宋体" w:cs="宋体" w:hint="eastAsia"/>
          <w:kern w:val="0"/>
          <w:sz w:val="24"/>
        </w:rPr>
        <w:br w:type="page"/>
      </w:r>
    </w:p>
    <w:p w:rsidR="00F54609" w:rsidRDefault="00FB42E9">
      <w:pPr>
        <w:pStyle w:val="a4"/>
        <w:spacing w:line="240" w:lineRule="auto"/>
        <w:ind w:firstLine="480"/>
        <w:rPr>
          <w:rFonts w:eastAsia="宋体" w:cs="宋体"/>
          <w:color w:val="auto"/>
        </w:rPr>
      </w:pPr>
      <w:r>
        <w:rPr>
          <w:rFonts w:hint="eastAsia"/>
          <w:noProof/>
        </w:rPr>
        <w:lastRenderedPageBreak/>
        <w:drawing>
          <wp:inline distT="0" distB="0" distL="114300" distR="114300">
            <wp:extent cx="8244840" cy="5947410"/>
            <wp:effectExtent l="0" t="0" r="15240" b="3810"/>
            <wp:docPr id="9" name="图片 9" descr="0c16b2b9df966e8da6f8e7b7f6865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c16b2b9df966e8da6f8e7b7f68651b"/>
                    <pic:cNvPicPr>
                      <a:picLocks noChangeAspect="1"/>
                    </pic:cNvPicPr>
                  </pic:nvPicPr>
                  <pic:blipFill>
                    <a:blip r:embed="rId4"/>
                    <a:stretch>
                      <a:fillRect/>
                    </a:stretch>
                  </pic:blipFill>
                  <pic:spPr>
                    <a:xfrm rot="16200000">
                      <a:off x="0" y="0"/>
                      <a:ext cx="8244840" cy="5947410"/>
                    </a:xfrm>
                    <a:prstGeom prst="rect">
                      <a:avLst/>
                    </a:prstGeom>
                  </pic:spPr>
                </pic:pic>
              </a:graphicData>
            </a:graphic>
          </wp:inline>
        </w:drawing>
      </w:r>
      <w:r>
        <w:rPr>
          <w:rFonts w:hint="eastAsia"/>
          <w:noProof/>
        </w:rPr>
        <w:lastRenderedPageBreak/>
        <w:drawing>
          <wp:inline distT="0" distB="0" distL="114300" distR="114300">
            <wp:extent cx="8462645" cy="5840730"/>
            <wp:effectExtent l="0" t="0" r="7620" b="14605"/>
            <wp:docPr id="10" name="图片 10" descr="aa7188d2d0b810843a64f68d1efd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a7188d2d0b810843a64f68d1efd02e"/>
                    <pic:cNvPicPr>
                      <a:picLocks noChangeAspect="1"/>
                    </pic:cNvPicPr>
                  </pic:nvPicPr>
                  <pic:blipFill>
                    <a:blip r:embed="rId5"/>
                    <a:stretch>
                      <a:fillRect/>
                    </a:stretch>
                  </pic:blipFill>
                  <pic:spPr>
                    <a:xfrm rot="16200000">
                      <a:off x="0" y="0"/>
                      <a:ext cx="8462645" cy="5840730"/>
                    </a:xfrm>
                    <a:prstGeom prst="rect">
                      <a:avLst/>
                    </a:prstGeom>
                  </pic:spPr>
                </pic:pic>
              </a:graphicData>
            </a:graphic>
          </wp:inline>
        </w:drawing>
      </w:r>
    </w:p>
    <w:p w:rsidR="00F54609" w:rsidRDefault="00F54609">
      <w:pPr>
        <w:rPr>
          <w:rFonts w:ascii="宋体" w:eastAsia="宋体" w:hAnsi="宋体" w:cs="宋体"/>
          <w:kern w:val="0"/>
          <w:sz w:val="24"/>
        </w:rPr>
      </w:pPr>
    </w:p>
    <w:p w:rsidR="00F54609" w:rsidRDefault="00FB42E9">
      <w:pPr>
        <w:adjustRightInd w:val="0"/>
        <w:snapToGrid w:val="0"/>
        <w:jc w:val="center"/>
        <w:rPr>
          <w:rFonts w:ascii="宋体" w:eastAsia="宋体" w:hAnsi="宋体" w:cs="宋体"/>
          <w:kern w:val="0"/>
          <w:sz w:val="24"/>
        </w:rPr>
      </w:pPr>
      <w:r>
        <w:rPr>
          <w:rFonts w:ascii="宋体" w:eastAsia="宋体" w:hAnsi="宋体" w:cs="宋体" w:hint="eastAsia"/>
          <w:noProof/>
          <w:kern w:val="0"/>
          <w:sz w:val="24"/>
        </w:rPr>
        <w:lastRenderedPageBreak/>
        <w:drawing>
          <wp:inline distT="0" distB="0" distL="114300" distR="114300">
            <wp:extent cx="8519160" cy="5783580"/>
            <wp:effectExtent l="0" t="0" r="7620" b="15240"/>
            <wp:docPr id="11" name="图片 11" descr="fb98299bd17e4fc99ab23040bc5f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b98299bd17e4fc99ab23040bc5f8f0"/>
                    <pic:cNvPicPr>
                      <a:picLocks noChangeAspect="1"/>
                    </pic:cNvPicPr>
                  </pic:nvPicPr>
                  <pic:blipFill>
                    <a:blip r:embed="rId6"/>
                    <a:stretch>
                      <a:fillRect/>
                    </a:stretch>
                  </pic:blipFill>
                  <pic:spPr>
                    <a:xfrm rot="16200000">
                      <a:off x="0" y="0"/>
                      <a:ext cx="8519160" cy="5783580"/>
                    </a:xfrm>
                    <a:prstGeom prst="rect">
                      <a:avLst/>
                    </a:prstGeom>
                  </pic:spPr>
                </pic:pic>
              </a:graphicData>
            </a:graphic>
          </wp:inline>
        </w:drawing>
      </w:r>
    </w:p>
    <w:p w:rsidR="00F54609" w:rsidRDefault="00F54609">
      <w:pPr>
        <w:adjustRightInd w:val="0"/>
        <w:snapToGrid w:val="0"/>
        <w:jc w:val="center"/>
        <w:rPr>
          <w:rFonts w:ascii="宋体" w:eastAsia="宋体" w:hAnsi="宋体" w:cs="宋体"/>
          <w:kern w:val="0"/>
          <w:sz w:val="24"/>
        </w:rPr>
      </w:pPr>
    </w:p>
    <w:p w:rsidR="00F54609" w:rsidRDefault="00FB42E9">
      <w:pPr>
        <w:adjustRightInd w:val="0"/>
        <w:snapToGrid w:val="0"/>
        <w:jc w:val="center"/>
        <w:rPr>
          <w:rFonts w:ascii="宋体" w:eastAsia="宋体" w:hAnsi="宋体" w:cs="宋体"/>
          <w:kern w:val="0"/>
          <w:sz w:val="24"/>
        </w:rPr>
      </w:pPr>
      <w:r>
        <w:rPr>
          <w:rFonts w:ascii="宋体" w:eastAsia="宋体" w:hAnsi="宋体" w:cs="宋体" w:hint="eastAsia"/>
          <w:kern w:val="0"/>
          <w:sz w:val="24"/>
        </w:rPr>
        <w:lastRenderedPageBreak/>
        <w:t>新泰市明信加油站</w:t>
      </w:r>
      <w:r>
        <w:rPr>
          <w:rFonts w:ascii="宋体" w:eastAsia="宋体" w:hAnsi="宋体" w:cs="宋体" w:hint="eastAsia"/>
          <w:kern w:val="0"/>
          <w:sz w:val="24"/>
        </w:rPr>
        <w:t>安全现状评价现场照片</w:t>
      </w:r>
    </w:p>
    <w:p w:rsidR="00F54609" w:rsidRDefault="00FB42E9">
      <w:pPr>
        <w:pStyle w:val="a4"/>
        <w:widowControl w:val="0"/>
        <w:adjustRightInd w:val="0"/>
        <w:snapToGrid w:val="0"/>
        <w:spacing w:line="240" w:lineRule="auto"/>
        <w:ind w:firstLineChars="0" w:firstLine="0"/>
        <w:sectPr w:rsidR="00F54609">
          <w:pgSz w:w="11906" w:h="16838"/>
          <w:pgMar w:top="1417" w:right="1417" w:bottom="1417" w:left="1417" w:header="851" w:footer="992" w:gutter="0"/>
          <w:cols w:space="425"/>
          <w:docGrid w:type="lines" w:linePitch="312"/>
        </w:sectPr>
      </w:pPr>
      <w:r w:rsidRPr="00FB42E9">
        <w:rPr>
          <w:noProof/>
        </w:rPr>
        <w:drawing>
          <wp:inline distT="0" distB="0" distL="0" distR="0">
            <wp:extent cx="5760720" cy="4321595"/>
            <wp:effectExtent l="0" t="0" r="0" b="3175"/>
            <wp:docPr id="1" name="图片 1" descr="F:\公司档案\评价报告电子版\新安达\董岳\2024.4.7新泰明信\照片打卡\明信\IMG_20240416_14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公司档案\评价报告电子版\新安达\董岳\2024.4.7新泰明信\照片打卡\明信\IMG_20240416_1439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595"/>
                    </a:xfrm>
                    <a:prstGeom prst="rect">
                      <a:avLst/>
                    </a:prstGeom>
                    <a:noFill/>
                    <a:ln>
                      <a:noFill/>
                    </a:ln>
                  </pic:spPr>
                </pic:pic>
              </a:graphicData>
            </a:graphic>
          </wp:inline>
        </w:drawing>
      </w:r>
      <w:bookmarkStart w:id="0" w:name="_GoBack"/>
      <w:bookmarkEnd w:id="0"/>
    </w:p>
    <w:p w:rsidR="00F54609" w:rsidRDefault="00FB42E9">
      <w:pPr>
        <w:pStyle w:val="1"/>
        <w:widowControl w:val="0"/>
        <w:adjustRightInd w:val="0"/>
        <w:snapToGrid w:val="0"/>
        <w:spacing w:beforeLines="0" w:before="0" w:afterLines="0" w:after="0" w:line="360" w:lineRule="auto"/>
      </w:pPr>
      <w:bookmarkStart w:id="1" w:name="_Toc102634395"/>
      <w:bookmarkStart w:id="2" w:name="_Toc15033742"/>
      <w:bookmarkStart w:id="3" w:name="_Toc102633895"/>
      <w:bookmarkStart w:id="4" w:name="_Toc102633969"/>
      <w:bookmarkStart w:id="5" w:name="_Toc102634226"/>
      <w:bookmarkStart w:id="6" w:name="_Toc102634255"/>
      <w:bookmarkStart w:id="7" w:name="_Toc102633906"/>
      <w:bookmarkStart w:id="8" w:name="_Toc102634406"/>
      <w:bookmarkStart w:id="9" w:name="_Toc102633980"/>
      <w:r>
        <w:lastRenderedPageBreak/>
        <w:t>第二章</w:t>
      </w:r>
      <w:r>
        <w:t xml:space="preserve"> </w:t>
      </w:r>
      <w:r>
        <w:t>加油站概况</w:t>
      </w:r>
      <w:bookmarkEnd w:id="1"/>
      <w:bookmarkEnd w:id="2"/>
      <w:bookmarkEnd w:id="3"/>
      <w:bookmarkEnd w:id="4"/>
      <w:bookmarkEnd w:id="5"/>
    </w:p>
    <w:p w:rsidR="00F54609" w:rsidRDefault="00FB42E9">
      <w:pPr>
        <w:snapToGrid w:val="0"/>
        <w:spacing w:line="360" w:lineRule="auto"/>
        <w:jc w:val="center"/>
        <w:outlineLvl w:val="1"/>
        <w:rPr>
          <w:rFonts w:ascii="Calibri" w:eastAsia="楷体_GB2312" w:hAnsi="Calibri"/>
          <w:b/>
          <w:kern w:val="0"/>
          <w:sz w:val="32"/>
          <w:szCs w:val="20"/>
        </w:rPr>
      </w:pPr>
      <w:bookmarkStart w:id="10" w:name="_Toc15033743"/>
      <w:bookmarkStart w:id="11" w:name="_Toc208733856"/>
      <w:bookmarkStart w:id="12" w:name="_Toc272364524"/>
      <w:bookmarkStart w:id="13" w:name="_Toc102633970"/>
      <w:bookmarkStart w:id="14" w:name="_Toc26504"/>
      <w:bookmarkStart w:id="15" w:name="_Toc102634396"/>
      <w:bookmarkStart w:id="16" w:name="_Toc30066"/>
      <w:bookmarkStart w:id="17" w:name="_Toc102634227"/>
      <w:bookmarkStart w:id="18" w:name="_Toc102633896"/>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加油站基本情况</w:t>
      </w:r>
      <w:bookmarkEnd w:id="10"/>
      <w:bookmarkEnd w:id="11"/>
      <w:bookmarkEnd w:id="12"/>
      <w:bookmarkEnd w:id="13"/>
      <w:bookmarkEnd w:id="14"/>
      <w:bookmarkEnd w:id="15"/>
      <w:bookmarkEnd w:id="16"/>
      <w:bookmarkEnd w:id="17"/>
      <w:bookmarkEnd w:id="18"/>
    </w:p>
    <w:p w:rsidR="00F54609" w:rsidRDefault="00FB42E9">
      <w:pPr>
        <w:adjustRightInd w:val="0"/>
        <w:snapToGrid w:val="0"/>
        <w:spacing w:line="360" w:lineRule="auto"/>
        <w:ind w:firstLineChars="200" w:firstLine="560"/>
        <w:rPr>
          <w:rFonts w:ascii="宋体"/>
        </w:rPr>
      </w:pPr>
      <w:r>
        <w:rPr>
          <w:rFonts w:ascii="宋体" w:hAnsi="宋体" w:hint="eastAsia"/>
          <w:sz w:val="28"/>
        </w:rPr>
        <w:t>新泰市明信加油站位于山东省泰安市新泰市楼德镇西村北楼良路路西，该站成立于</w:t>
      </w:r>
      <w:r>
        <w:rPr>
          <w:rFonts w:ascii="宋体" w:hAnsi="宋体" w:hint="eastAsia"/>
          <w:sz w:val="28"/>
        </w:rPr>
        <w:t>2018</w:t>
      </w:r>
      <w:r>
        <w:rPr>
          <w:rFonts w:ascii="宋体" w:hAnsi="宋体" w:hint="eastAsia"/>
          <w:sz w:val="28"/>
        </w:rPr>
        <w:t>年</w:t>
      </w:r>
      <w:r>
        <w:rPr>
          <w:rFonts w:ascii="宋体" w:hAnsi="宋体" w:hint="eastAsia"/>
          <w:sz w:val="28"/>
        </w:rPr>
        <w:t>03</w:t>
      </w:r>
      <w:r>
        <w:rPr>
          <w:rFonts w:ascii="宋体" w:hAnsi="宋体" w:hint="eastAsia"/>
          <w:sz w:val="28"/>
        </w:rPr>
        <w:t>月</w:t>
      </w:r>
      <w:r>
        <w:rPr>
          <w:rFonts w:ascii="宋体" w:hAnsi="宋体" w:hint="eastAsia"/>
          <w:sz w:val="28"/>
        </w:rPr>
        <w:t>09</w:t>
      </w:r>
      <w:r>
        <w:rPr>
          <w:rFonts w:ascii="宋体" w:hAnsi="宋体" w:hint="eastAsia"/>
          <w:sz w:val="28"/>
        </w:rPr>
        <w:t>日。该站</w:t>
      </w:r>
      <w:r>
        <w:rPr>
          <w:rFonts w:ascii="宋体" w:hAnsi="宋体" w:hint="eastAsia"/>
          <w:sz w:val="28"/>
        </w:rPr>
        <w:t>北侧为民房，西侧为农田，东侧</w:t>
      </w:r>
      <w:proofErr w:type="gramStart"/>
      <w:r>
        <w:rPr>
          <w:rFonts w:ascii="宋体" w:hAnsi="宋体" w:hint="eastAsia"/>
          <w:sz w:val="28"/>
        </w:rPr>
        <w:t>为楼良路</w:t>
      </w:r>
      <w:proofErr w:type="gramEnd"/>
      <w:r>
        <w:rPr>
          <w:rFonts w:ascii="宋体" w:hAnsi="宋体" w:hint="eastAsia"/>
          <w:sz w:val="28"/>
        </w:rPr>
        <w:t>、架空通信线和架空电力线，南侧为村内小路和民房</w:t>
      </w:r>
      <w:r>
        <w:rPr>
          <w:rFonts w:ascii="宋体" w:hAnsi="宋体" w:hint="eastAsia"/>
          <w:sz w:val="28"/>
        </w:rPr>
        <w:t>。该站经营许可范围为汽油、柴油，现其主要经营汽油、柴油</w:t>
      </w:r>
      <w:r>
        <w:rPr>
          <w:rFonts w:ascii="宋体" w:hAnsi="宋体" w:hint="eastAsia"/>
          <w:snapToGrid w:val="0"/>
          <w:kern w:val="0"/>
          <w:sz w:val="28"/>
        </w:rPr>
        <w:t>（</w:t>
      </w:r>
      <w:r>
        <w:rPr>
          <w:rFonts w:ascii="宋体" w:hAnsi="宋体" w:hint="eastAsia"/>
          <w:snapToGrid w:val="0"/>
          <w:kern w:val="0"/>
          <w:sz w:val="28"/>
        </w:rPr>
        <w:t>0#</w:t>
      </w:r>
      <w:r>
        <w:rPr>
          <w:rFonts w:ascii="宋体" w:hAnsi="宋体" w:hint="eastAsia"/>
          <w:snapToGrid w:val="0"/>
          <w:kern w:val="0"/>
          <w:sz w:val="28"/>
        </w:rPr>
        <w:t>与</w:t>
      </w:r>
      <w:r>
        <w:rPr>
          <w:rFonts w:ascii="宋体" w:hAnsi="宋体" w:hint="eastAsia"/>
          <w:snapToGrid w:val="0"/>
          <w:kern w:val="0"/>
          <w:sz w:val="28"/>
        </w:rPr>
        <w:t>-10#</w:t>
      </w:r>
      <w:r>
        <w:rPr>
          <w:rFonts w:ascii="宋体" w:hAnsi="宋体" w:hint="eastAsia"/>
          <w:snapToGrid w:val="0"/>
          <w:kern w:val="0"/>
          <w:sz w:val="28"/>
        </w:rPr>
        <w:t>换季销售）。</w:t>
      </w:r>
      <w:r>
        <w:rPr>
          <w:rFonts w:ascii="宋体" w:hAnsi="宋体" w:hint="eastAsia"/>
          <w:sz w:val="28"/>
        </w:rPr>
        <w:t>此次现状评价报告与三年前报告相比，该站周边环境未发生变化</w:t>
      </w:r>
      <w:r>
        <w:rPr>
          <w:rFonts w:ascii="宋体" w:hAnsi="宋体" w:hint="eastAsia"/>
          <w:sz w:val="28"/>
        </w:rPr>
        <w:t>，</w:t>
      </w:r>
      <w:r>
        <w:rPr>
          <w:rFonts w:ascii="宋体" w:hAnsi="宋体" w:hint="eastAsia"/>
          <w:sz w:val="28"/>
        </w:rPr>
        <w:t>加油站北侧新增洗车间、</w:t>
      </w:r>
      <w:proofErr w:type="gramStart"/>
      <w:r>
        <w:rPr>
          <w:rFonts w:ascii="宋体" w:hAnsi="宋体" w:hint="eastAsia"/>
          <w:sz w:val="28"/>
        </w:rPr>
        <w:t>危废间</w:t>
      </w:r>
      <w:proofErr w:type="gramEnd"/>
      <w:r>
        <w:rPr>
          <w:rFonts w:ascii="宋体" w:hAnsi="宋体" w:hint="eastAsia"/>
          <w:sz w:val="28"/>
        </w:rPr>
        <w:t>，原有</w:t>
      </w:r>
      <w:r>
        <w:rPr>
          <w:rFonts w:ascii="宋体" w:hAnsi="宋体" w:hint="eastAsia"/>
          <w:sz w:val="28"/>
        </w:rPr>
        <w:t>95#</w:t>
      </w:r>
      <w:r>
        <w:rPr>
          <w:rFonts w:ascii="宋体" w:hAnsi="宋体" w:hint="eastAsia"/>
          <w:sz w:val="28"/>
        </w:rPr>
        <w:t>汽油更换为</w:t>
      </w:r>
      <w:r>
        <w:rPr>
          <w:rFonts w:ascii="宋体" w:hAnsi="宋体" w:hint="eastAsia"/>
          <w:sz w:val="28"/>
        </w:rPr>
        <w:t>92#</w:t>
      </w:r>
      <w:r>
        <w:rPr>
          <w:rFonts w:ascii="宋体" w:hAnsi="宋体" w:hint="eastAsia"/>
          <w:sz w:val="28"/>
        </w:rPr>
        <w:t>汽油</w:t>
      </w:r>
      <w:r>
        <w:rPr>
          <w:rFonts w:ascii="宋体" w:hAnsi="宋体" w:hint="eastAsia"/>
          <w:sz w:val="28"/>
        </w:rPr>
        <w:t>。</w:t>
      </w:r>
    </w:p>
    <w:p w:rsidR="00F54609" w:rsidRDefault="00FB42E9">
      <w:pPr>
        <w:pStyle w:val="6"/>
        <w:widowControl w:val="0"/>
        <w:adjustRightInd w:val="0"/>
        <w:snapToGrid w:val="0"/>
        <w:spacing w:line="360" w:lineRule="auto"/>
        <w:ind w:firstLine="560"/>
        <w:rPr>
          <w:rFonts w:ascii="宋体"/>
        </w:rPr>
      </w:pPr>
      <w:r>
        <w:rPr>
          <w:rFonts w:ascii="宋体" w:hAnsi="宋体" w:hint="eastAsia"/>
          <w:szCs w:val="28"/>
        </w:rPr>
        <w:t>该加油站主要建有站房、油罐区、加油区。加油区在站房东侧，</w:t>
      </w:r>
      <w:r>
        <w:rPr>
          <w:rFonts w:ascii="宋体" w:hAnsi="宋体" w:hint="eastAsia"/>
          <w:kern w:val="2"/>
          <w:szCs w:val="21"/>
        </w:rPr>
        <w:t>现有</w:t>
      </w:r>
      <w:r>
        <w:rPr>
          <w:rFonts w:ascii="宋体" w:hAnsi="宋体" w:hint="eastAsia"/>
          <w:kern w:val="2"/>
          <w:szCs w:val="21"/>
        </w:rPr>
        <w:t>4</w:t>
      </w:r>
      <w:r>
        <w:rPr>
          <w:rFonts w:ascii="宋体" w:hAnsi="宋体" w:hint="eastAsia"/>
          <w:kern w:val="2"/>
          <w:szCs w:val="21"/>
        </w:rPr>
        <w:t>台双枪加油机，均为自吸式</w:t>
      </w:r>
      <w:r>
        <w:rPr>
          <w:rFonts w:ascii="宋体" w:hint="eastAsia"/>
        </w:rPr>
        <w:t>；</w:t>
      </w:r>
      <w:r>
        <w:rPr>
          <w:rFonts w:ascii="宋体" w:hAnsi="宋体" w:hint="eastAsia"/>
          <w:szCs w:val="28"/>
        </w:rPr>
        <w:t>油罐区在站房</w:t>
      </w:r>
      <w:proofErr w:type="gramStart"/>
      <w:r>
        <w:rPr>
          <w:rFonts w:ascii="宋体" w:hAnsi="宋体" w:hint="eastAsia"/>
          <w:szCs w:val="28"/>
        </w:rPr>
        <w:t>北侧非</w:t>
      </w:r>
      <w:proofErr w:type="gramEnd"/>
      <w:r>
        <w:rPr>
          <w:rFonts w:ascii="宋体" w:hAnsi="宋体" w:hint="eastAsia"/>
          <w:szCs w:val="28"/>
        </w:rPr>
        <w:t>行车道下，</w:t>
      </w:r>
      <w:r>
        <w:rPr>
          <w:rFonts w:ascii="宋体" w:hint="eastAsia"/>
        </w:rPr>
        <w:t>现有</w:t>
      </w:r>
      <w:r>
        <w:rPr>
          <w:rFonts w:ascii="宋体" w:hint="eastAsia"/>
        </w:rPr>
        <w:t>4</w:t>
      </w:r>
      <w:r>
        <w:rPr>
          <w:rFonts w:ascii="宋体" w:hint="eastAsia"/>
        </w:rPr>
        <w:t>台</w:t>
      </w:r>
      <w:r>
        <w:rPr>
          <w:rFonts w:ascii="宋体" w:hint="eastAsia"/>
        </w:rPr>
        <w:t>30m</w:t>
      </w:r>
      <w:r>
        <w:rPr>
          <w:rFonts w:ascii="宋体" w:hint="eastAsia"/>
          <w:vertAlign w:val="superscript"/>
        </w:rPr>
        <w:t>3</w:t>
      </w:r>
      <w:r>
        <w:rPr>
          <w:rFonts w:ascii="宋体" w:hint="eastAsia"/>
        </w:rPr>
        <w:t>埋地双层储罐（</w:t>
      </w:r>
      <w:r>
        <w:rPr>
          <w:rFonts w:ascii="宋体" w:hAnsi="宋体" w:hint="eastAsia"/>
          <w:szCs w:val="28"/>
        </w:rPr>
        <w:t>包括</w:t>
      </w:r>
      <w:r>
        <w:rPr>
          <w:rFonts w:ascii="宋体" w:hAnsi="宋体" w:hint="eastAsia"/>
          <w:szCs w:val="28"/>
        </w:rPr>
        <w:t>2</w:t>
      </w:r>
      <w:r>
        <w:rPr>
          <w:rFonts w:ascii="宋体" w:hint="eastAsia"/>
        </w:rPr>
        <w:t>台</w:t>
      </w:r>
      <w:r>
        <w:rPr>
          <w:rFonts w:ascii="宋体" w:hint="eastAsia"/>
        </w:rPr>
        <w:t>92#</w:t>
      </w:r>
      <w:r>
        <w:rPr>
          <w:rFonts w:ascii="宋体" w:hint="eastAsia"/>
        </w:rPr>
        <w:t>汽油罐、</w:t>
      </w:r>
      <w:r>
        <w:rPr>
          <w:rFonts w:ascii="宋体" w:hint="eastAsia"/>
        </w:rPr>
        <w:t>2</w:t>
      </w:r>
      <w:r>
        <w:rPr>
          <w:rFonts w:ascii="宋体" w:hint="eastAsia"/>
        </w:rPr>
        <w:t>台柴油罐</w:t>
      </w:r>
      <w:r>
        <w:rPr>
          <w:rFonts w:ascii="宋体" w:hAnsi="宋体" w:hint="eastAsia"/>
          <w:szCs w:val="28"/>
        </w:rPr>
        <w:t>），</w:t>
      </w:r>
      <w:r>
        <w:rPr>
          <w:rFonts w:ascii="宋体" w:hAnsi="宋体" w:hint="eastAsia"/>
          <w:szCs w:val="28"/>
        </w:rPr>
        <w:t>4</w:t>
      </w:r>
      <w:r>
        <w:rPr>
          <w:rFonts w:ascii="宋体" w:hAnsi="宋体" w:hint="eastAsia"/>
          <w:szCs w:val="28"/>
        </w:rPr>
        <w:t>台油罐均安装了液位仪、检漏仪，</w:t>
      </w:r>
      <w:r>
        <w:rPr>
          <w:rFonts w:ascii="宋体" w:hint="eastAsia"/>
        </w:rPr>
        <w:t>其油罐埋地设置，通气管</w:t>
      </w:r>
      <w:r>
        <w:rPr>
          <w:rFonts w:ascii="宋体" w:hint="eastAsia"/>
        </w:rPr>
        <w:t>4</w:t>
      </w:r>
      <w:r>
        <w:rPr>
          <w:rFonts w:ascii="宋体" w:hint="eastAsia"/>
        </w:rPr>
        <w:t>根；该站汽油设有加油、卸油油气回收系统及油气处理装置（三次油气回收系统）；按《汽车加油加气加氢站技术标准》</w:t>
      </w:r>
      <w:r>
        <w:rPr>
          <w:rFonts w:ascii="宋体" w:hint="eastAsia"/>
        </w:rPr>
        <w:t>GB50156-2021</w:t>
      </w:r>
      <w:r>
        <w:rPr>
          <w:rFonts w:ascii="宋体" w:hint="eastAsia"/>
        </w:rPr>
        <w:t>标准规定：</w:t>
      </w:r>
      <w:r>
        <w:rPr>
          <w:rFonts w:ascii="宋体" w:hint="eastAsia"/>
        </w:rPr>
        <w:t>V=90m</w:t>
      </w:r>
      <w:r>
        <w:rPr>
          <w:rFonts w:ascii="宋体" w:hint="eastAsia"/>
          <w:vertAlign w:val="superscript"/>
        </w:rPr>
        <w:t>3</w:t>
      </w:r>
      <w:r>
        <w:rPr>
          <w:rFonts w:ascii="宋体" w:hint="eastAsia"/>
        </w:rPr>
        <w:t>，该站属三级加油站。</w:t>
      </w:r>
    </w:p>
    <w:p w:rsidR="00F54609" w:rsidRDefault="00FB42E9">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0"/>
        <w:gridCol w:w="3210"/>
        <w:gridCol w:w="3217"/>
      </w:tblGrid>
      <w:tr w:rsidR="00F54609">
        <w:trPr>
          <w:trHeight w:val="397"/>
          <w:jc w:val="center"/>
        </w:trPr>
        <w:tc>
          <w:tcPr>
            <w:tcW w:w="1662" w:type="pct"/>
            <w:vMerge w:val="restart"/>
            <w:vAlign w:val="center"/>
          </w:tcPr>
          <w:p w:rsidR="00F54609" w:rsidRDefault="00FB42E9">
            <w:pPr>
              <w:pStyle w:val="50"/>
              <w:widowControl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F54609" w:rsidRDefault="00FB42E9">
            <w:pPr>
              <w:pStyle w:val="50"/>
              <w:widowControl w:val="0"/>
              <w:spacing w:line="360" w:lineRule="auto"/>
              <w:rPr>
                <w:rFonts w:ascii="宋体" w:hAnsi="宋体"/>
                <w:b/>
                <w:bCs/>
              </w:rPr>
            </w:pPr>
            <w:r>
              <w:rPr>
                <w:rFonts w:ascii="宋体" w:hAnsi="宋体"/>
                <w:b/>
                <w:bCs/>
              </w:rPr>
              <w:t>加油站油罐容积（</w:t>
            </w:r>
            <w:r>
              <w:rPr>
                <w:rFonts w:ascii="宋体" w:hAnsi="宋体"/>
                <w:b/>
                <w:bCs/>
              </w:rPr>
              <w:t>m</w:t>
            </w:r>
            <w:r>
              <w:rPr>
                <w:rFonts w:ascii="宋体" w:hAnsi="宋体"/>
                <w:b/>
                <w:bCs/>
                <w:vertAlign w:val="superscript"/>
              </w:rPr>
              <w:t>3</w:t>
            </w:r>
            <w:r>
              <w:rPr>
                <w:rFonts w:ascii="宋体" w:hAnsi="宋体"/>
                <w:b/>
                <w:bCs/>
              </w:rPr>
              <w:t>）</w:t>
            </w:r>
          </w:p>
        </w:tc>
      </w:tr>
      <w:tr w:rsidR="00F54609">
        <w:trPr>
          <w:trHeight w:val="397"/>
          <w:jc w:val="center"/>
        </w:trPr>
        <w:tc>
          <w:tcPr>
            <w:tcW w:w="1662" w:type="pct"/>
            <w:vMerge/>
            <w:vAlign w:val="center"/>
          </w:tcPr>
          <w:p w:rsidR="00F54609" w:rsidRDefault="00F54609">
            <w:pPr>
              <w:pStyle w:val="50"/>
              <w:widowControl w:val="0"/>
              <w:spacing w:line="360" w:lineRule="auto"/>
              <w:rPr>
                <w:rFonts w:ascii="宋体" w:hAnsi="宋体"/>
                <w:b/>
                <w:bCs/>
              </w:rPr>
            </w:pPr>
          </w:p>
        </w:tc>
        <w:tc>
          <w:tcPr>
            <w:tcW w:w="1667" w:type="pct"/>
            <w:vAlign w:val="center"/>
          </w:tcPr>
          <w:p w:rsidR="00F54609" w:rsidRDefault="00FB42E9">
            <w:pPr>
              <w:pStyle w:val="50"/>
              <w:widowControl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F54609" w:rsidRDefault="00FB42E9">
            <w:pPr>
              <w:pStyle w:val="50"/>
              <w:widowControl w:val="0"/>
              <w:spacing w:line="360" w:lineRule="auto"/>
              <w:rPr>
                <w:rFonts w:ascii="宋体" w:hAnsi="宋体"/>
                <w:b/>
                <w:bCs/>
              </w:rPr>
            </w:pPr>
            <w:r>
              <w:rPr>
                <w:rFonts w:ascii="宋体" w:hAnsi="宋体"/>
                <w:b/>
                <w:bCs/>
              </w:rPr>
              <w:t>单罐容积</w:t>
            </w:r>
          </w:p>
        </w:tc>
      </w:tr>
      <w:tr w:rsidR="00F54609">
        <w:trPr>
          <w:trHeight w:val="397"/>
          <w:jc w:val="center"/>
        </w:trPr>
        <w:tc>
          <w:tcPr>
            <w:tcW w:w="1662" w:type="pct"/>
            <w:vAlign w:val="center"/>
          </w:tcPr>
          <w:p w:rsidR="00F54609" w:rsidRDefault="00FB42E9">
            <w:pPr>
              <w:pStyle w:val="50"/>
              <w:widowControl w:val="0"/>
              <w:spacing w:line="360" w:lineRule="auto"/>
              <w:rPr>
                <w:rFonts w:ascii="宋体" w:hAnsi="宋体"/>
              </w:rPr>
            </w:pPr>
            <w:r>
              <w:rPr>
                <w:rFonts w:ascii="宋体" w:hAnsi="宋体"/>
              </w:rPr>
              <w:t>一级</w:t>
            </w:r>
          </w:p>
        </w:tc>
        <w:tc>
          <w:tcPr>
            <w:tcW w:w="1667" w:type="pct"/>
            <w:vAlign w:val="center"/>
          </w:tcPr>
          <w:p w:rsidR="00F54609" w:rsidRDefault="00FB42E9">
            <w:pPr>
              <w:pStyle w:val="50"/>
              <w:widowControl w:val="0"/>
              <w:spacing w:line="360" w:lineRule="auto"/>
              <w:rPr>
                <w:rFonts w:ascii="宋体" w:hAnsi="宋体"/>
              </w:rPr>
            </w:pPr>
            <w:r>
              <w:rPr>
                <w:rFonts w:ascii="宋体" w:hAnsi="宋体"/>
              </w:rPr>
              <w:t>150</w:t>
            </w:r>
            <w:r>
              <w:rPr>
                <w:rFonts w:ascii="宋体" w:hAnsi="宋体"/>
              </w:rPr>
              <w:t>＜</w:t>
            </w:r>
            <w:r>
              <w:rPr>
                <w:rFonts w:ascii="宋体" w:hAnsi="宋体"/>
              </w:rPr>
              <w:t>V</w:t>
            </w:r>
            <w:r>
              <w:rPr>
                <w:rFonts w:ascii="宋体" w:hAnsi="宋体" w:hint="eastAsia"/>
              </w:rPr>
              <w:t>≤</w:t>
            </w:r>
            <w:r>
              <w:rPr>
                <w:rFonts w:ascii="宋体" w:hAnsi="宋体"/>
              </w:rPr>
              <w:t>210</w:t>
            </w:r>
          </w:p>
        </w:tc>
        <w:tc>
          <w:tcPr>
            <w:tcW w:w="1671" w:type="pct"/>
            <w:vAlign w:val="center"/>
          </w:tcPr>
          <w:p w:rsidR="00F54609" w:rsidRDefault="00FB42E9">
            <w:pPr>
              <w:pStyle w:val="50"/>
              <w:widowControl w:val="0"/>
              <w:spacing w:line="360" w:lineRule="auto"/>
              <w:rPr>
                <w:rFonts w:ascii="宋体" w:hAnsi="宋体"/>
              </w:rPr>
            </w:pPr>
            <w:r>
              <w:rPr>
                <w:rFonts w:ascii="宋体" w:hAnsi="宋体" w:hint="eastAsia"/>
              </w:rPr>
              <w:t>≤</w:t>
            </w:r>
            <w:r>
              <w:rPr>
                <w:rFonts w:ascii="宋体" w:hAnsi="宋体"/>
              </w:rPr>
              <w:t>50</w:t>
            </w:r>
          </w:p>
        </w:tc>
      </w:tr>
      <w:tr w:rsidR="00F54609">
        <w:trPr>
          <w:trHeight w:val="397"/>
          <w:jc w:val="center"/>
        </w:trPr>
        <w:tc>
          <w:tcPr>
            <w:tcW w:w="1662" w:type="pct"/>
            <w:vAlign w:val="center"/>
          </w:tcPr>
          <w:p w:rsidR="00F54609" w:rsidRDefault="00FB42E9">
            <w:pPr>
              <w:pStyle w:val="50"/>
              <w:widowControl w:val="0"/>
              <w:spacing w:line="360" w:lineRule="auto"/>
              <w:rPr>
                <w:rFonts w:ascii="宋体" w:hAnsi="宋体"/>
              </w:rPr>
            </w:pPr>
            <w:r>
              <w:rPr>
                <w:rFonts w:ascii="宋体" w:hAnsi="宋体"/>
              </w:rPr>
              <w:t>二级</w:t>
            </w:r>
          </w:p>
        </w:tc>
        <w:tc>
          <w:tcPr>
            <w:tcW w:w="1667" w:type="pct"/>
            <w:vAlign w:val="center"/>
          </w:tcPr>
          <w:p w:rsidR="00F54609" w:rsidRDefault="00FB42E9">
            <w:pPr>
              <w:pStyle w:val="50"/>
              <w:widowControl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F54609" w:rsidRDefault="00FB42E9">
            <w:pPr>
              <w:pStyle w:val="50"/>
              <w:widowControl w:val="0"/>
              <w:spacing w:line="360" w:lineRule="auto"/>
              <w:rPr>
                <w:rFonts w:ascii="宋体" w:hAnsi="宋体"/>
              </w:rPr>
            </w:pPr>
            <w:r>
              <w:rPr>
                <w:rFonts w:ascii="宋体" w:hAnsi="宋体" w:hint="eastAsia"/>
              </w:rPr>
              <w:t>≤</w:t>
            </w:r>
            <w:r>
              <w:rPr>
                <w:rFonts w:ascii="宋体" w:hAnsi="宋体"/>
              </w:rPr>
              <w:t>50</w:t>
            </w:r>
          </w:p>
        </w:tc>
      </w:tr>
      <w:tr w:rsidR="00F54609">
        <w:trPr>
          <w:trHeight w:val="397"/>
          <w:jc w:val="center"/>
        </w:trPr>
        <w:tc>
          <w:tcPr>
            <w:tcW w:w="1662" w:type="pct"/>
            <w:vAlign w:val="center"/>
          </w:tcPr>
          <w:p w:rsidR="00F54609" w:rsidRDefault="00FB42E9">
            <w:pPr>
              <w:pStyle w:val="50"/>
              <w:widowControl w:val="0"/>
              <w:spacing w:line="360" w:lineRule="auto"/>
              <w:rPr>
                <w:rFonts w:ascii="宋体" w:hAnsi="宋体"/>
              </w:rPr>
            </w:pPr>
            <w:r>
              <w:rPr>
                <w:rFonts w:ascii="宋体" w:hAnsi="宋体"/>
              </w:rPr>
              <w:t>三级</w:t>
            </w:r>
          </w:p>
        </w:tc>
        <w:tc>
          <w:tcPr>
            <w:tcW w:w="1667" w:type="pct"/>
            <w:vAlign w:val="center"/>
          </w:tcPr>
          <w:p w:rsidR="00F54609" w:rsidRDefault="00FB42E9">
            <w:pPr>
              <w:pStyle w:val="50"/>
              <w:widowControl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F54609" w:rsidRDefault="00FB42E9">
            <w:pPr>
              <w:pStyle w:val="50"/>
              <w:widowControl w:val="0"/>
              <w:spacing w:line="360" w:lineRule="auto"/>
              <w:rPr>
                <w:rFonts w:ascii="宋体" w:hAnsi="宋体"/>
              </w:rPr>
            </w:pPr>
            <w:r>
              <w:rPr>
                <w:rFonts w:ascii="宋体" w:hAnsi="宋体"/>
              </w:rPr>
              <w:t>汽油罐</w:t>
            </w:r>
            <w:r>
              <w:rPr>
                <w:rFonts w:ascii="宋体" w:hAnsi="宋体" w:hint="eastAsia"/>
              </w:rPr>
              <w:t>≤</w:t>
            </w:r>
            <w:r>
              <w:rPr>
                <w:rFonts w:ascii="宋体" w:hAnsi="宋体"/>
              </w:rPr>
              <w:t>30</w:t>
            </w:r>
            <w:r>
              <w:rPr>
                <w:rFonts w:ascii="宋体" w:hAnsi="宋体"/>
              </w:rPr>
              <w:t>，柴油罐</w:t>
            </w:r>
            <w:r>
              <w:rPr>
                <w:rFonts w:ascii="宋体" w:hAnsi="宋体" w:hint="eastAsia"/>
              </w:rPr>
              <w:t>≤</w:t>
            </w:r>
            <w:r>
              <w:rPr>
                <w:rFonts w:ascii="宋体" w:hAnsi="宋体"/>
              </w:rPr>
              <w:t>50</w:t>
            </w:r>
          </w:p>
        </w:tc>
      </w:tr>
    </w:tbl>
    <w:p w:rsidR="00F54609" w:rsidRDefault="00FB42E9">
      <w:pPr>
        <w:pStyle w:val="7"/>
        <w:widowControl w:val="0"/>
        <w:spacing w:line="360" w:lineRule="auto"/>
        <w:ind w:firstLine="436"/>
      </w:pPr>
      <w:r>
        <w:t>注：</w:t>
      </w:r>
      <w:r>
        <w:rPr>
          <w:rFonts w:hint="eastAsia"/>
        </w:rPr>
        <w:t>V</w:t>
      </w:r>
      <w:r>
        <w:rPr>
          <w:rFonts w:hint="eastAsia"/>
        </w:rPr>
        <w:t>为油罐总容积。</w:t>
      </w:r>
      <w:r>
        <w:t>柴油罐容积可折半计入油罐总容积。</w:t>
      </w:r>
    </w:p>
    <w:p w:rsidR="00F54609" w:rsidRDefault="00FB42E9">
      <w:pPr>
        <w:pStyle w:val="6"/>
        <w:widowControl w:val="0"/>
        <w:spacing w:line="360" w:lineRule="auto"/>
        <w:ind w:firstLine="560"/>
        <w:rPr>
          <w:rFonts w:ascii="宋体"/>
        </w:rPr>
      </w:pPr>
      <w:r>
        <w:rPr>
          <w:rFonts w:ascii="宋体"/>
        </w:rPr>
        <w:t>该站现有职工</w:t>
      </w:r>
      <w:r>
        <w:rPr>
          <w:rFonts w:ascii="宋体" w:hint="eastAsia"/>
        </w:rPr>
        <w:t>8</w:t>
      </w:r>
      <w:r>
        <w:rPr>
          <w:rFonts w:ascii="宋体" w:hint="eastAsia"/>
        </w:rPr>
        <w:t>人</w:t>
      </w:r>
      <w:r>
        <w:rPr>
          <w:rFonts w:ascii="宋体"/>
        </w:rPr>
        <w:t>，</w:t>
      </w:r>
      <w:r>
        <w:rPr>
          <w:rFonts w:ascii="宋体" w:hint="eastAsia"/>
        </w:rPr>
        <w:t>其中</w:t>
      </w:r>
      <w:r>
        <w:rPr>
          <w:rFonts w:ascii="宋体"/>
        </w:rPr>
        <w:t>主要负责人</w:t>
      </w:r>
      <w:r>
        <w:rPr>
          <w:rFonts w:ascii="宋体" w:hint="eastAsia"/>
        </w:rPr>
        <w:t>1</w:t>
      </w:r>
      <w:r>
        <w:rPr>
          <w:rFonts w:ascii="宋体"/>
        </w:rPr>
        <w:t>人，安全生产管理人员</w:t>
      </w:r>
      <w:r>
        <w:rPr>
          <w:rFonts w:ascii="宋体" w:hint="eastAsia"/>
        </w:rPr>
        <w:t>1</w:t>
      </w:r>
      <w:r>
        <w:rPr>
          <w:rFonts w:ascii="宋体" w:hint="eastAsia"/>
        </w:rPr>
        <w:t>人。主要负责人和安全生产管理人员已参加了危险化学品安全管理培训，并取得考核合格证，</w:t>
      </w:r>
      <w:r>
        <w:rPr>
          <w:rFonts w:ascii="宋体"/>
        </w:rPr>
        <w:t>详见附件。</w:t>
      </w:r>
    </w:p>
    <w:p w:rsidR="00F54609" w:rsidRDefault="00FB42E9">
      <w:pPr>
        <w:pStyle w:val="6"/>
        <w:widowControl w:val="0"/>
        <w:spacing w:line="360" w:lineRule="auto"/>
        <w:ind w:firstLine="560"/>
        <w:rPr>
          <w:rFonts w:ascii="宋体"/>
        </w:rPr>
      </w:pPr>
      <w:r>
        <w:rPr>
          <w:rFonts w:ascii="宋体" w:hint="eastAsia"/>
        </w:rPr>
        <w:t>公司于</w:t>
      </w:r>
      <w:r>
        <w:rPr>
          <w:rFonts w:ascii="宋体" w:hint="eastAsia"/>
        </w:rPr>
        <w:t>2020</w:t>
      </w:r>
      <w:r>
        <w:rPr>
          <w:rFonts w:ascii="宋体" w:hint="eastAsia"/>
        </w:rPr>
        <w:t>年</w:t>
      </w:r>
      <w:r>
        <w:rPr>
          <w:rFonts w:ascii="宋体" w:hint="eastAsia"/>
        </w:rPr>
        <w:t>3</w:t>
      </w:r>
      <w:r>
        <w:rPr>
          <w:rFonts w:ascii="宋体" w:hint="eastAsia"/>
        </w:rPr>
        <w:t>月</w:t>
      </w:r>
      <w:r>
        <w:rPr>
          <w:rFonts w:ascii="宋体" w:hint="eastAsia"/>
        </w:rPr>
        <w:t>26</w:t>
      </w:r>
      <w:r>
        <w:rPr>
          <w:rFonts w:ascii="宋体" w:hint="eastAsia"/>
        </w:rPr>
        <w:t>日取得了《不动产权证书》，使用期限为</w:t>
      </w:r>
      <w:r>
        <w:rPr>
          <w:rFonts w:ascii="宋体" w:hint="eastAsia"/>
        </w:rPr>
        <w:t>2020</w:t>
      </w:r>
      <w:r>
        <w:rPr>
          <w:rFonts w:ascii="宋体" w:hint="eastAsia"/>
        </w:rPr>
        <w:t>年</w:t>
      </w:r>
      <w:r>
        <w:rPr>
          <w:rFonts w:ascii="宋体" w:hint="eastAsia"/>
        </w:rPr>
        <w:t>2</w:t>
      </w:r>
      <w:r>
        <w:rPr>
          <w:rFonts w:ascii="宋体" w:hint="eastAsia"/>
        </w:rPr>
        <w:t>月</w:t>
      </w:r>
      <w:r>
        <w:rPr>
          <w:rFonts w:ascii="宋体" w:hint="eastAsia"/>
        </w:rPr>
        <w:t>21</w:t>
      </w:r>
      <w:r>
        <w:rPr>
          <w:rFonts w:ascii="宋体" w:hint="eastAsia"/>
        </w:rPr>
        <w:t>日起至</w:t>
      </w:r>
      <w:r>
        <w:rPr>
          <w:rFonts w:ascii="宋体" w:hint="eastAsia"/>
        </w:rPr>
        <w:t>2060</w:t>
      </w:r>
      <w:r>
        <w:rPr>
          <w:rFonts w:ascii="宋体" w:hint="eastAsia"/>
        </w:rPr>
        <w:t>年</w:t>
      </w:r>
      <w:r>
        <w:rPr>
          <w:rFonts w:ascii="宋体" w:hint="eastAsia"/>
        </w:rPr>
        <w:t>2</w:t>
      </w:r>
      <w:r>
        <w:rPr>
          <w:rFonts w:ascii="宋体" w:hint="eastAsia"/>
        </w:rPr>
        <w:t>月</w:t>
      </w:r>
      <w:r>
        <w:rPr>
          <w:rFonts w:ascii="宋体" w:hint="eastAsia"/>
        </w:rPr>
        <w:t>20</w:t>
      </w:r>
      <w:r>
        <w:rPr>
          <w:rFonts w:ascii="宋体" w:hint="eastAsia"/>
        </w:rPr>
        <w:t>日止，证书编号：鲁（</w:t>
      </w:r>
      <w:r>
        <w:rPr>
          <w:rFonts w:ascii="宋体" w:hint="eastAsia"/>
        </w:rPr>
        <w:t>2020</w:t>
      </w:r>
      <w:r>
        <w:rPr>
          <w:rFonts w:ascii="宋体" w:hint="eastAsia"/>
        </w:rPr>
        <w:t>）新泰市不动产权</w:t>
      </w:r>
      <w:r>
        <w:rPr>
          <w:rFonts w:ascii="宋体" w:hint="eastAsia"/>
        </w:rPr>
        <w:lastRenderedPageBreak/>
        <w:t>第</w:t>
      </w:r>
      <w:r>
        <w:rPr>
          <w:rFonts w:ascii="宋体" w:hint="eastAsia"/>
        </w:rPr>
        <w:t>0001326</w:t>
      </w:r>
      <w:r>
        <w:rPr>
          <w:rFonts w:ascii="宋体" w:hint="eastAsia"/>
        </w:rPr>
        <w:t>号。详见附件。</w:t>
      </w:r>
    </w:p>
    <w:p w:rsidR="00F54609" w:rsidRDefault="00FB42E9">
      <w:pPr>
        <w:pStyle w:val="6"/>
        <w:widowControl w:val="0"/>
        <w:spacing w:line="360" w:lineRule="auto"/>
        <w:ind w:firstLine="560"/>
        <w:rPr>
          <w:rFonts w:ascii="宋体"/>
        </w:rPr>
      </w:pPr>
      <w:r>
        <w:rPr>
          <w:rFonts w:ascii="宋体" w:hint="eastAsia"/>
        </w:rPr>
        <w:t>加油站于</w:t>
      </w:r>
      <w:r>
        <w:rPr>
          <w:rFonts w:ascii="宋体" w:hint="eastAsia"/>
        </w:rPr>
        <w:t>2021</w:t>
      </w:r>
      <w:r>
        <w:rPr>
          <w:rFonts w:ascii="宋体" w:hint="eastAsia"/>
        </w:rPr>
        <w:t>年</w:t>
      </w:r>
      <w:r>
        <w:rPr>
          <w:rFonts w:ascii="宋体" w:hint="eastAsia"/>
        </w:rPr>
        <w:t>03</w:t>
      </w:r>
      <w:r>
        <w:rPr>
          <w:rFonts w:ascii="宋体" w:hint="eastAsia"/>
        </w:rPr>
        <w:t>月</w:t>
      </w:r>
      <w:r>
        <w:rPr>
          <w:rFonts w:ascii="宋体" w:hint="eastAsia"/>
        </w:rPr>
        <w:t>25</w:t>
      </w:r>
      <w:r>
        <w:rPr>
          <w:rFonts w:ascii="宋体" w:hint="eastAsia"/>
        </w:rPr>
        <w:t>日取得了新泰市住房和城乡建设局出具的《特殊建筑工程消防验收意见书》，编号：</w:t>
      </w:r>
      <w:proofErr w:type="gramStart"/>
      <w:r>
        <w:rPr>
          <w:rFonts w:ascii="宋体" w:hint="eastAsia"/>
        </w:rPr>
        <w:t>新建消验字</w:t>
      </w:r>
      <w:proofErr w:type="gramEnd"/>
      <w:r>
        <w:rPr>
          <w:rFonts w:ascii="宋体" w:hint="eastAsia"/>
        </w:rPr>
        <w:t>[2021]</w:t>
      </w:r>
      <w:r>
        <w:rPr>
          <w:rFonts w:ascii="宋体" w:hint="eastAsia"/>
        </w:rPr>
        <w:t>第</w:t>
      </w:r>
      <w:r>
        <w:rPr>
          <w:rFonts w:ascii="宋体" w:hint="eastAsia"/>
        </w:rPr>
        <w:t>002-</w:t>
      </w:r>
      <w:r>
        <w:rPr>
          <w:rFonts w:ascii="宋体" w:hint="eastAsia"/>
        </w:rPr>
        <w:t>01</w:t>
      </w:r>
      <w:r>
        <w:rPr>
          <w:rFonts w:ascii="宋体" w:hint="eastAsia"/>
        </w:rPr>
        <w:t>号，</w:t>
      </w:r>
      <w:r>
        <w:rPr>
          <w:rFonts w:ascii="宋体" w:hint="eastAsia"/>
        </w:rPr>
        <w:t>结论为合格，</w:t>
      </w:r>
      <w:r>
        <w:rPr>
          <w:rFonts w:ascii="宋体" w:hint="eastAsia"/>
        </w:rPr>
        <w:t>详见附件。</w:t>
      </w:r>
    </w:p>
    <w:p w:rsidR="00F54609" w:rsidRDefault="00FB42E9">
      <w:pPr>
        <w:pStyle w:val="6"/>
        <w:widowControl w:val="0"/>
        <w:spacing w:line="360" w:lineRule="auto"/>
        <w:ind w:firstLine="560"/>
        <w:rPr>
          <w:rFonts w:ascii="宋体"/>
        </w:rPr>
      </w:pPr>
      <w:r>
        <w:rPr>
          <w:rFonts w:ascii="宋体" w:hint="eastAsia"/>
        </w:rPr>
        <w:t>加油站于</w:t>
      </w:r>
      <w:r>
        <w:rPr>
          <w:rFonts w:ascii="宋体" w:hint="eastAsia"/>
        </w:rPr>
        <w:t>2021</w:t>
      </w:r>
      <w:r>
        <w:rPr>
          <w:rFonts w:ascii="宋体" w:hint="eastAsia"/>
        </w:rPr>
        <w:t>年</w:t>
      </w:r>
      <w:r>
        <w:rPr>
          <w:rFonts w:ascii="宋体" w:hint="eastAsia"/>
        </w:rPr>
        <w:t>01</w:t>
      </w:r>
      <w:r>
        <w:rPr>
          <w:rFonts w:ascii="宋体" w:hint="eastAsia"/>
        </w:rPr>
        <w:t>月</w:t>
      </w:r>
      <w:r>
        <w:rPr>
          <w:rFonts w:ascii="宋体" w:hint="eastAsia"/>
        </w:rPr>
        <w:t>08</w:t>
      </w:r>
      <w:r>
        <w:rPr>
          <w:rFonts w:ascii="宋体" w:hint="eastAsia"/>
        </w:rPr>
        <w:t>日</w:t>
      </w:r>
      <w:r>
        <w:rPr>
          <w:rFonts w:ascii="宋体" w:hint="eastAsia"/>
        </w:rPr>
        <w:t>取得</w:t>
      </w:r>
      <w:r>
        <w:rPr>
          <w:rFonts w:ascii="宋体" w:hint="eastAsia"/>
        </w:rPr>
        <w:t>了《成品油零售经营批准证书》，证书编号：</w:t>
      </w:r>
      <w:proofErr w:type="gramStart"/>
      <w:r>
        <w:rPr>
          <w:rFonts w:ascii="宋体" w:hint="eastAsia"/>
        </w:rPr>
        <w:t>鲁油零售</w:t>
      </w:r>
      <w:proofErr w:type="gramEnd"/>
      <w:r>
        <w:rPr>
          <w:rFonts w:ascii="宋体" w:hint="eastAsia"/>
        </w:rPr>
        <w:t>证书第</w:t>
      </w:r>
      <w:r>
        <w:rPr>
          <w:rFonts w:ascii="宋体" w:hint="eastAsia"/>
        </w:rPr>
        <w:t>3709023109</w:t>
      </w:r>
      <w:r>
        <w:rPr>
          <w:rFonts w:ascii="宋体" w:hint="eastAsia"/>
        </w:rPr>
        <w:t>号，证书有效期至</w:t>
      </w:r>
      <w:r>
        <w:rPr>
          <w:rFonts w:ascii="宋体" w:hint="eastAsia"/>
        </w:rPr>
        <w:t>2026</w:t>
      </w:r>
      <w:r>
        <w:rPr>
          <w:rFonts w:ascii="宋体" w:hint="eastAsia"/>
        </w:rPr>
        <w:t>年</w:t>
      </w:r>
      <w:r>
        <w:rPr>
          <w:rFonts w:ascii="宋体" w:hint="eastAsia"/>
        </w:rPr>
        <w:t>01</w:t>
      </w:r>
      <w:r>
        <w:rPr>
          <w:rFonts w:ascii="宋体" w:hint="eastAsia"/>
        </w:rPr>
        <w:t>月</w:t>
      </w:r>
      <w:r>
        <w:rPr>
          <w:rFonts w:ascii="宋体" w:hint="eastAsia"/>
        </w:rPr>
        <w:t>08</w:t>
      </w:r>
      <w:r>
        <w:rPr>
          <w:rFonts w:ascii="宋体" w:hint="eastAsia"/>
        </w:rPr>
        <w:t>日。证书见附件。</w:t>
      </w:r>
    </w:p>
    <w:p w:rsidR="00F54609" w:rsidRDefault="00FB42E9">
      <w:pPr>
        <w:pStyle w:val="6"/>
        <w:widowControl w:val="0"/>
        <w:spacing w:line="360" w:lineRule="auto"/>
        <w:ind w:firstLine="560"/>
        <w:rPr>
          <w:rFonts w:ascii="宋体"/>
        </w:rPr>
      </w:pPr>
      <w:r>
        <w:rPr>
          <w:rFonts w:ascii="宋体" w:hint="eastAsia"/>
        </w:rPr>
        <w:t>加油站于</w:t>
      </w:r>
      <w:r>
        <w:rPr>
          <w:rFonts w:ascii="宋体" w:hint="eastAsia"/>
        </w:rPr>
        <w:t>2021</w:t>
      </w:r>
      <w:r>
        <w:rPr>
          <w:rFonts w:ascii="宋体" w:hint="eastAsia"/>
        </w:rPr>
        <w:t>年</w:t>
      </w:r>
      <w:r>
        <w:rPr>
          <w:rFonts w:ascii="宋体" w:hint="eastAsia"/>
        </w:rPr>
        <w:t>05</w:t>
      </w:r>
      <w:r>
        <w:rPr>
          <w:rFonts w:ascii="宋体" w:hint="eastAsia"/>
        </w:rPr>
        <w:t>月</w:t>
      </w:r>
      <w:r>
        <w:rPr>
          <w:rFonts w:ascii="宋体" w:hint="eastAsia"/>
        </w:rPr>
        <w:t>18</w:t>
      </w:r>
      <w:r>
        <w:rPr>
          <w:rFonts w:ascii="宋体" w:hint="eastAsia"/>
        </w:rPr>
        <w:t>日</w:t>
      </w:r>
      <w:r>
        <w:rPr>
          <w:rFonts w:ascii="宋体" w:hint="eastAsia"/>
        </w:rPr>
        <w:t>取得</w:t>
      </w:r>
      <w:r>
        <w:rPr>
          <w:rFonts w:ascii="宋体" w:hint="eastAsia"/>
        </w:rPr>
        <w:t>了《危险化学品经营许可证》，证书编号：鲁</w:t>
      </w:r>
      <w:proofErr w:type="gramStart"/>
      <w:r>
        <w:rPr>
          <w:rFonts w:ascii="宋体" w:hint="eastAsia"/>
        </w:rPr>
        <w:t>泰危化</w:t>
      </w:r>
      <w:proofErr w:type="gramEnd"/>
      <w:r>
        <w:rPr>
          <w:rFonts w:ascii="宋体" w:hint="eastAsia"/>
        </w:rPr>
        <w:t>经</w:t>
      </w:r>
      <w:r>
        <w:rPr>
          <w:rFonts w:ascii="宋体" w:hint="eastAsia"/>
        </w:rPr>
        <w:t>[2021]030007</w:t>
      </w:r>
      <w:r>
        <w:rPr>
          <w:rFonts w:ascii="宋体" w:hint="eastAsia"/>
        </w:rPr>
        <w:t>号，证书有效期</w:t>
      </w:r>
      <w:r>
        <w:rPr>
          <w:rFonts w:ascii="宋体" w:hint="eastAsia"/>
        </w:rPr>
        <w:t>2021</w:t>
      </w:r>
      <w:r>
        <w:rPr>
          <w:rFonts w:ascii="宋体" w:hint="eastAsia"/>
        </w:rPr>
        <w:t>年</w:t>
      </w:r>
      <w:r>
        <w:rPr>
          <w:rFonts w:ascii="宋体" w:hint="eastAsia"/>
        </w:rPr>
        <w:t>05</w:t>
      </w:r>
      <w:r>
        <w:rPr>
          <w:rFonts w:ascii="宋体" w:hint="eastAsia"/>
        </w:rPr>
        <w:t>月</w:t>
      </w:r>
      <w:r>
        <w:rPr>
          <w:rFonts w:ascii="宋体" w:hint="eastAsia"/>
        </w:rPr>
        <w:t>18</w:t>
      </w:r>
      <w:r>
        <w:rPr>
          <w:rFonts w:ascii="宋体" w:hint="eastAsia"/>
        </w:rPr>
        <w:t>日至</w:t>
      </w:r>
      <w:r>
        <w:rPr>
          <w:rFonts w:ascii="宋体" w:hint="eastAsia"/>
        </w:rPr>
        <w:t>2024</w:t>
      </w:r>
      <w:r>
        <w:rPr>
          <w:rFonts w:ascii="宋体" w:hint="eastAsia"/>
        </w:rPr>
        <w:t>年</w:t>
      </w:r>
      <w:r>
        <w:rPr>
          <w:rFonts w:ascii="宋体" w:hint="eastAsia"/>
        </w:rPr>
        <w:t>05</w:t>
      </w:r>
      <w:r>
        <w:rPr>
          <w:rFonts w:ascii="宋体" w:hint="eastAsia"/>
        </w:rPr>
        <w:t>月</w:t>
      </w:r>
      <w:r>
        <w:rPr>
          <w:rFonts w:ascii="宋体" w:hint="eastAsia"/>
        </w:rPr>
        <w:t>17</w:t>
      </w:r>
      <w:r>
        <w:rPr>
          <w:rFonts w:ascii="宋体" w:hint="eastAsia"/>
        </w:rPr>
        <w:t>日</w:t>
      </w:r>
      <w:r>
        <w:rPr>
          <w:rFonts w:ascii="宋体"/>
        </w:rPr>
        <w:t>。</w:t>
      </w:r>
      <w:r>
        <w:rPr>
          <w:rFonts w:ascii="宋体" w:hint="eastAsia"/>
        </w:rPr>
        <w:t>证书见附件。</w:t>
      </w:r>
    </w:p>
    <w:p w:rsidR="00F54609" w:rsidRDefault="00FB42E9">
      <w:pPr>
        <w:pStyle w:val="6"/>
        <w:widowControl w:val="0"/>
        <w:spacing w:line="360" w:lineRule="auto"/>
        <w:ind w:firstLine="560"/>
        <w:rPr>
          <w:rFonts w:ascii="宋体"/>
        </w:rPr>
      </w:pPr>
      <w:bookmarkStart w:id="19" w:name="_Hlk508440011"/>
      <w:r>
        <w:rPr>
          <w:rFonts w:ascii="宋体" w:hint="eastAsia"/>
        </w:rPr>
        <w:t>该站编制了生产安全事故应急预案，于</w:t>
      </w:r>
      <w:r>
        <w:rPr>
          <w:rFonts w:ascii="宋体" w:hint="eastAsia"/>
        </w:rPr>
        <w:t>202</w:t>
      </w:r>
      <w:r>
        <w:rPr>
          <w:rFonts w:ascii="宋体" w:hint="eastAsia"/>
        </w:rPr>
        <w:t>4</w:t>
      </w:r>
      <w:r>
        <w:rPr>
          <w:rFonts w:ascii="宋体" w:hint="eastAsia"/>
        </w:rPr>
        <w:t>年</w:t>
      </w:r>
      <w:r>
        <w:rPr>
          <w:rFonts w:ascii="宋体" w:hint="eastAsia"/>
        </w:rPr>
        <w:t>3</w:t>
      </w:r>
      <w:r>
        <w:rPr>
          <w:rFonts w:ascii="宋体" w:hint="eastAsia"/>
        </w:rPr>
        <w:t>月</w:t>
      </w:r>
      <w:r>
        <w:rPr>
          <w:rFonts w:ascii="宋体" w:hint="eastAsia"/>
        </w:rPr>
        <w:t>4</w:t>
      </w:r>
      <w:r>
        <w:rPr>
          <w:rFonts w:ascii="宋体" w:hint="eastAsia"/>
        </w:rPr>
        <w:t>日在新泰市应急管理局进行了备案，备案编号为：</w:t>
      </w:r>
      <w:r>
        <w:rPr>
          <w:rFonts w:ascii="宋体" w:hint="eastAsia"/>
        </w:rPr>
        <w:t>370982-2024-0023</w:t>
      </w:r>
      <w:r>
        <w:rPr>
          <w:rFonts w:ascii="宋体" w:hint="eastAsia"/>
        </w:rPr>
        <w:t>。详见附件</w:t>
      </w:r>
      <w:r>
        <w:rPr>
          <w:rFonts w:ascii="宋体" w:hint="eastAsia"/>
        </w:rPr>
        <w:t>。</w:t>
      </w:r>
    </w:p>
    <w:bookmarkEnd w:id="19"/>
    <w:p w:rsidR="00F54609" w:rsidRDefault="00FB42E9">
      <w:pPr>
        <w:pStyle w:val="6"/>
        <w:widowControl w:val="0"/>
        <w:spacing w:line="360" w:lineRule="auto"/>
        <w:ind w:firstLine="560"/>
        <w:rPr>
          <w:rFonts w:ascii="宋体"/>
        </w:rPr>
      </w:pPr>
      <w:r>
        <w:rPr>
          <w:rFonts w:ascii="宋体" w:hint="eastAsia"/>
        </w:rPr>
        <w:t>山东天科防雷工程有限公司对该站进行了相关防</w:t>
      </w:r>
      <w:proofErr w:type="gramStart"/>
      <w:r>
        <w:rPr>
          <w:rFonts w:ascii="宋体" w:hint="eastAsia"/>
        </w:rPr>
        <w:t>雷设施</w:t>
      </w:r>
      <w:proofErr w:type="gramEnd"/>
      <w:r>
        <w:rPr>
          <w:rFonts w:ascii="宋体" w:hint="eastAsia"/>
        </w:rPr>
        <w:t>的检测，出具了合格的《雷电防护装置定期检测报告》，报告编号：</w:t>
      </w:r>
      <w:proofErr w:type="gramStart"/>
      <w:r>
        <w:rPr>
          <w:rFonts w:ascii="宋体" w:hint="eastAsia"/>
        </w:rPr>
        <w:t>天科雷</w:t>
      </w:r>
      <w:proofErr w:type="gramEnd"/>
      <w:r>
        <w:rPr>
          <w:rFonts w:ascii="宋体" w:hint="eastAsia"/>
        </w:rPr>
        <w:t>检字</w:t>
      </w:r>
      <w:r>
        <w:rPr>
          <w:rFonts w:ascii="宋体" w:hint="eastAsia"/>
        </w:rPr>
        <w:t>[2023]TA-XT-A389</w:t>
      </w:r>
      <w:r>
        <w:rPr>
          <w:rFonts w:ascii="宋体" w:hint="eastAsia"/>
        </w:rPr>
        <w:t>号，防雷类别：二类，有效期</w:t>
      </w:r>
      <w:r>
        <w:rPr>
          <w:rFonts w:ascii="宋体" w:hint="eastAsia"/>
        </w:rPr>
        <w:t>2023</w:t>
      </w:r>
      <w:r>
        <w:rPr>
          <w:rFonts w:ascii="宋体" w:hint="eastAsia"/>
        </w:rPr>
        <w:t>年</w:t>
      </w:r>
      <w:r>
        <w:rPr>
          <w:rFonts w:ascii="宋体" w:hint="eastAsia"/>
        </w:rPr>
        <w:t>12</w:t>
      </w:r>
      <w:r>
        <w:rPr>
          <w:rFonts w:ascii="宋体" w:hint="eastAsia"/>
        </w:rPr>
        <w:t>月</w:t>
      </w:r>
      <w:r>
        <w:rPr>
          <w:rFonts w:ascii="宋体" w:hint="eastAsia"/>
        </w:rPr>
        <w:t>07</w:t>
      </w:r>
      <w:r>
        <w:rPr>
          <w:rFonts w:ascii="宋体" w:hint="eastAsia"/>
        </w:rPr>
        <w:t>日至</w:t>
      </w:r>
      <w:r>
        <w:rPr>
          <w:rFonts w:ascii="宋体" w:hint="eastAsia"/>
        </w:rPr>
        <w:t>2024</w:t>
      </w:r>
      <w:r>
        <w:rPr>
          <w:rFonts w:ascii="宋体" w:hint="eastAsia"/>
        </w:rPr>
        <w:t>年</w:t>
      </w:r>
      <w:r>
        <w:rPr>
          <w:rFonts w:ascii="宋体" w:hint="eastAsia"/>
        </w:rPr>
        <w:t>06</w:t>
      </w:r>
      <w:r>
        <w:rPr>
          <w:rFonts w:ascii="宋体" w:hint="eastAsia"/>
        </w:rPr>
        <w:t>月</w:t>
      </w:r>
      <w:r>
        <w:rPr>
          <w:rFonts w:ascii="宋体" w:hint="eastAsia"/>
        </w:rPr>
        <w:t>06</w:t>
      </w:r>
      <w:r>
        <w:rPr>
          <w:rFonts w:ascii="宋体" w:hint="eastAsia"/>
        </w:rPr>
        <w:t>日。检测报告见附件。</w:t>
      </w:r>
    </w:p>
    <w:p w:rsidR="00F54609" w:rsidRDefault="00FB42E9">
      <w:pPr>
        <w:pStyle w:val="6"/>
        <w:widowControl w:val="0"/>
        <w:spacing w:line="360" w:lineRule="auto"/>
        <w:ind w:firstLine="560"/>
        <w:rPr>
          <w:rFonts w:ascii="宋体"/>
        </w:rPr>
      </w:pPr>
      <w:r>
        <w:rPr>
          <w:rFonts w:ascii="宋体" w:hint="eastAsia"/>
        </w:rPr>
        <w:t>该加油站于</w:t>
      </w:r>
      <w:r>
        <w:rPr>
          <w:rFonts w:ascii="宋体" w:hint="eastAsia"/>
        </w:rPr>
        <w:t>2023</w:t>
      </w:r>
      <w:r>
        <w:rPr>
          <w:rFonts w:ascii="宋体" w:hint="eastAsia"/>
        </w:rPr>
        <w:t>年</w:t>
      </w:r>
      <w:r>
        <w:rPr>
          <w:rFonts w:ascii="宋体" w:hint="eastAsia"/>
        </w:rPr>
        <w:t>0</w:t>
      </w:r>
      <w:r>
        <w:rPr>
          <w:rFonts w:ascii="宋体" w:hint="eastAsia"/>
        </w:rPr>
        <w:t>8</w:t>
      </w:r>
      <w:r>
        <w:rPr>
          <w:rFonts w:ascii="宋体" w:hint="eastAsia"/>
        </w:rPr>
        <w:t>月</w:t>
      </w:r>
      <w:r>
        <w:rPr>
          <w:rFonts w:ascii="宋体" w:hint="eastAsia"/>
        </w:rPr>
        <w:t>08</w:t>
      </w:r>
      <w:r>
        <w:rPr>
          <w:rFonts w:ascii="宋体" w:hint="eastAsia"/>
        </w:rPr>
        <w:t>购买了安全生产责任保险，保单号为</w:t>
      </w:r>
      <w:r>
        <w:rPr>
          <w:rFonts w:ascii="宋体" w:hint="eastAsia"/>
        </w:rPr>
        <w:t>PZ</w:t>
      </w:r>
      <w:r>
        <w:rPr>
          <w:rFonts w:ascii="宋体" w:hint="eastAsia"/>
        </w:rPr>
        <w:t>JT202337090000000229</w:t>
      </w:r>
      <w:r>
        <w:rPr>
          <w:rFonts w:ascii="宋体" w:hint="eastAsia"/>
        </w:rPr>
        <w:t>，保险期限为</w:t>
      </w:r>
      <w:r>
        <w:rPr>
          <w:rFonts w:ascii="宋体" w:hint="eastAsia"/>
        </w:rPr>
        <w:t>2023</w:t>
      </w:r>
      <w:r>
        <w:rPr>
          <w:rFonts w:ascii="宋体" w:hint="eastAsia"/>
        </w:rPr>
        <w:t>年</w:t>
      </w:r>
      <w:r>
        <w:rPr>
          <w:rFonts w:ascii="宋体" w:hint="eastAsia"/>
        </w:rPr>
        <w:t>0</w:t>
      </w:r>
      <w:r>
        <w:rPr>
          <w:rFonts w:ascii="宋体" w:hint="eastAsia"/>
        </w:rPr>
        <w:t>8</w:t>
      </w:r>
      <w:r>
        <w:rPr>
          <w:rFonts w:ascii="宋体" w:hint="eastAsia"/>
        </w:rPr>
        <w:t>月</w:t>
      </w:r>
      <w:r>
        <w:rPr>
          <w:rFonts w:ascii="宋体" w:hint="eastAsia"/>
        </w:rPr>
        <w:t>14</w:t>
      </w:r>
      <w:r>
        <w:rPr>
          <w:rFonts w:ascii="宋体" w:hint="eastAsia"/>
        </w:rPr>
        <w:t>日至</w:t>
      </w:r>
      <w:r>
        <w:rPr>
          <w:rFonts w:ascii="宋体" w:hint="eastAsia"/>
        </w:rPr>
        <w:t>2024</w:t>
      </w:r>
      <w:r>
        <w:rPr>
          <w:rFonts w:ascii="宋体" w:hint="eastAsia"/>
        </w:rPr>
        <w:t>年</w:t>
      </w:r>
      <w:r>
        <w:rPr>
          <w:rFonts w:ascii="宋体" w:hint="eastAsia"/>
        </w:rPr>
        <w:t>0</w:t>
      </w:r>
      <w:r>
        <w:rPr>
          <w:rFonts w:ascii="宋体" w:hint="eastAsia"/>
        </w:rPr>
        <w:t>8</w:t>
      </w:r>
      <w:r>
        <w:rPr>
          <w:rFonts w:ascii="宋体" w:hint="eastAsia"/>
        </w:rPr>
        <w:t>月</w:t>
      </w:r>
      <w:r>
        <w:rPr>
          <w:rFonts w:ascii="宋体" w:hint="eastAsia"/>
        </w:rPr>
        <w:t>13</w:t>
      </w:r>
      <w:r>
        <w:rPr>
          <w:rFonts w:ascii="宋体" w:hint="eastAsia"/>
        </w:rPr>
        <w:t>日。详见附件。</w:t>
      </w:r>
    </w:p>
    <w:p w:rsidR="00F54609" w:rsidRDefault="00FB42E9">
      <w:pPr>
        <w:pStyle w:val="6"/>
        <w:widowControl w:val="0"/>
        <w:spacing w:line="360" w:lineRule="auto"/>
        <w:ind w:firstLine="560"/>
        <w:rPr>
          <w:rFonts w:ascii="宋体"/>
        </w:rPr>
      </w:pPr>
      <w:r>
        <w:rPr>
          <w:rFonts w:ascii="宋体" w:hint="eastAsia"/>
        </w:rPr>
        <w:t>该站建立健全了安全生产责任制、安全生产规章制度和安全操作规程，执行情况较好。</w:t>
      </w:r>
    </w:p>
    <w:p w:rsidR="00F54609" w:rsidRDefault="00FB42E9">
      <w:pPr>
        <w:pStyle w:val="6"/>
        <w:widowControl w:val="0"/>
        <w:spacing w:line="360" w:lineRule="auto"/>
        <w:ind w:firstLine="560"/>
        <w:rPr>
          <w:rFonts w:ascii="宋体"/>
        </w:rPr>
      </w:pPr>
      <w:r>
        <w:rPr>
          <w:rFonts w:ascii="宋体" w:hint="eastAsia"/>
        </w:rPr>
        <w:t>该站现有员</w:t>
      </w:r>
      <w:r>
        <w:rPr>
          <w:rFonts w:ascii="宋体" w:hint="eastAsia"/>
        </w:rPr>
        <w:t>工</w:t>
      </w:r>
      <w:r>
        <w:rPr>
          <w:rFonts w:ascii="宋体" w:hint="eastAsia"/>
        </w:rPr>
        <w:t>8</w:t>
      </w:r>
      <w:r>
        <w:rPr>
          <w:rFonts w:ascii="宋体" w:hint="eastAsia"/>
        </w:rPr>
        <w:t>人</w:t>
      </w:r>
      <w:r>
        <w:rPr>
          <w:rFonts w:ascii="宋体" w:hint="eastAsia"/>
        </w:rPr>
        <w:t>，按规定持证上岗。该加油站成立了以主要负责人为</w:t>
      </w:r>
      <w:proofErr w:type="gramStart"/>
      <w:r>
        <w:rPr>
          <w:rFonts w:ascii="宋体" w:hint="eastAsia"/>
        </w:rPr>
        <w:t>安全第一</w:t>
      </w:r>
      <w:proofErr w:type="gramEnd"/>
      <w:r>
        <w:rPr>
          <w:rFonts w:ascii="宋体" w:hint="eastAsia"/>
        </w:rPr>
        <w:t>责任人的安全生产领导小组，同时成立了义务消防队。主要负责人和安</w:t>
      </w:r>
      <w:r>
        <w:rPr>
          <w:rFonts w:ascii="宋体" w:hint="eastAsia"/>
        </w:rPr>
        <w:lastRenderedPageBreak/>
        <w:t>全员经过安全培训，各项安全管理制度基本健全，有生产经营单位生产事故应急预案，并定期进行应急救援演练。该加油站消防器材配备齐全，加油站配备了</w:t>
      </w:r>
      <w:r>
        <w:rPr>
          <w:rFonts w:ascii="宋体" w:hint="eastAsia"/>
        </w:rPr>
        <w:t>35kg</w:t>
      </w:r>
      <w:r>
        <w:rPr>
          <w:rFonts w:ascii="宋体" w:hint="eastAsia"/>
        </w:rPr>
        <w:t>推车式干粉灭火器</w:t>
      </w:r>
      <w:r>
        <w:rPr>
          <w:rFonts w:ascii="宋体" w:hint="eastAsia"/>
        </w:rPr>
        <w:t>1</w:t>
      </w:r>
      <w:r>
        <w:rPr>
          <w:rFonts w:ascii="宋体" w:hint="eastAsia"/>
        </w:rPr>
        <w:t>具，</w:t>
      </w:r>
      <w:r>
        <w:rPr>
          <w:rFonts w:ascii="宋体" w:hint="eastAsia"/>
        </w:rPr>
        <w:t>8</w:t>
      </w:r>
      <w:r>
        <w:rPr>
          <w:rFonts w:ascii="宋体" w:hint="eastAsia"/>
        </w:rPr>
        <w:t>kg</w:t>
      </w:r>
      <w:r>
        <w:rPr>
          <w:rFonts w:ascii="宋体" w:hint="eastAsia"/>
        </w:rPr>
        <w:t>手提式干粉灭火器</w:t>
      </w:r>
      <w:r>
        <w:rPr>
          <w:rFonts w:ascii="宋体" w:hint="eastAsia"/>
        </w:rPr>
        <w:t>5</w:t>
      </w:r>
      <w:r>
        <w:rPr>
          <w:rFonts w:ascii="宋体" w:hint="eastAsia"/>
        </w:rPr>
        <w:t>具，</w:t>
      </w:r>
      <w:r>
        <w:rPr>
          <w:rFonts w:ascii="宋体" w:hint="eastAsia"/>
        </w:rPr>
        <w:t>CO</w:t>
      </w:r>
      <w:r>
        <w:rPr>
          <w:rFonts w:ascii="宋体" w:hint="eastAsia"/>
          <w:vertAlign w:val="subscript"/>
        </w:rPr>
        <w:t>2</w:t>
      </w:r>
      <w:r>
        <w:rPr>
          <w:rFonts w:ascii="宋体" w:hint="eastAsia"/>
        </w:rPr>
        <w:t>灭火器</w:t>
      </w:r>
      <w:r>
        <w:rPr>
          <w:rFonts w:ascii="宋体" w:hint="eastAsia"/>
        </w:rPr>
        <w:t>2</w:t>
      </w:r>
      <w:r>
        <w:rPr>
          <w:rFonts w:ascii="宋体" w:hint="eastAsia"/>
        </w:rPr>
        <w:t>具，灭火</w:t>
      </w:r>
      <w:proofErr w:type="gramStart"/>
      <w:r>
        <w:rPr>
          <w:rFonts w:ascii="宋体" w:hint="eastAsia"/>
        </w:rPr>
        <w:t>毯</w:t>
      </w:r>
      <w:proofErr w:type="gramEnd"/>
      <w:r>
        <w:rPr>
          <w:rFonts w:ascii="宋体" w:hint="eastAsia"/>
        </w:rPr>
        <w:t>4</w:t>
      </w:r>
      <w:r>
        <w:rPr>
          <w:rFonts w:ascii="宋体" w:hint="eastAsia"/>
        </w:rPr>
        <w:t>块，消防</w:t>
      </w:r>
      <w:proofErr w:type="gramStart"/>
      <w:r>
        <w:rPr>
          <w:rFonts w:ascii="宋体" w:hint="eastAsia"/>
        </w:rPr>
        <w:t>锨</w:t>
      </w:r>
      <w:proofErr w:type="gramEnd"/>
      <w:r>
        <w:rPr>
          <w:rFonts w:ascii="宋体" w:hint="eastAsia"/>
        </w:rPr>
        <w:t>4</w:t>
      </w:r>
      <w:r>
        <w:rPr>
          <w:rFonts w:ascii="宋体" w:hint="eastAsia"/>
        </w:rPr>
        <w:t>把，消防桶</w:t>
      </w:r>
      <w:r>
        <w:rPr>
          <w:rFonts w:ascii="宋体" w:hint="eastAsia"/>
        </w:rPr>
        <w:t>2</w:t>
      </w:r>
      <w:r>
        <w:rPr>
          <w:rFonts w:ascii="宋体" w:hint="eastAsia"/>
        </w:rPr>
        <w:t>个，消防沙池</w:t>
      </w:r>
      <w:r>
        <w:rPr>
          <w:rFonts w:ascii="宋体" w:hint="eastAsia"/>
        </w:rPr>
        <w:t>2m</w:t>
      </w:r>
      <w:r>
        <w:rPr>
          <w:rFonts w:ascii="宋体" w:hint="eastAsia"/>
          <w:vertAlign w:val="superscript"/>
        </w:rPr>
        <w:t>3</w:t>
      </w:r>
      <w:r>
        <w:rPr>
          <w:rFonts w:ascii="宋体" w:hint="eastAsia"/>
        </w:rPr>
        <w:t>。</w:t>
      </w:r>
    </w:p>
    <w:p w:rsidR="00F54609" w:rsidRDefault="00FB42E9">
      <w:pPr>
        <w:pStyle w:val="6"/>
        <w:widowControl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rsidR="00F54609" w:rsidRDefault="00FB42E9">
      <w:pPr>
        <w:pStyle w:val="1"/>
        <w:widowControl w:val="0"/>
        <w:adjustRightInd w:val="0"/>
        <w:snapToGrid w:val="0"/>
        <w:spacing w:beforeLines="0" w:before="0" w:afterLines="0" w:after="0" w:line="360" w:lineRule="auto"/>
      </w:pPr>
      <w:bookmarkStart w:id="20" w:name="_Toc15033761"/>
      <w:bookmarkStart w:id="21" w:name="_Toc9894"/>
      <w:bookmarkStart w:id="22" w:name="_Toc102634276"/>
      <w:bookmarkStart w:id="23" w:name="_Toc102634414"/>
      <w:bookmarkStart w:id="24" w:name="_Toc102633988"/>
      <w:bookmarkStart w:id="25" w:name="_Toc102633914"/>
      <w:bookmarkEnd w:id="6"/>
      <w:bookmarkEnd w:id="7"/>
      <w:bookmarkEnd w:id="8"/>
      <w:bookmarkEnd w:id="9"/>
      <w:r>
        <w:lastRenderedPageBreak/>
        <w:t>第四章</w:t>
      </w:r>
      <w:r>
        <w:t xml:space="preserve"> </w:t>
      </w:r>
      <w:r>
        <w:t>评价单元划分与评价方法选择</w:t>
      </w:r>
    </w:p>
    <w:p w:rsidR="00F54609" w:rsidRDefault="00FB42E9">
      <w:pPr>
        <w:snapToGrid w:val="0"/>
        <w:spacing w:line="360" w:lineRule="auto"/>
        <w:jc w:val="center"/>
        <w:outlineLvl w:val="1"/>
        <w:rPr>
          <w:rFonts w:ascii="Calibri" w:eastAsia="楷体_GB2312" w:hAnsi="Calibri"/>
          <w:b/>
          <w:kern w:val="0"/>
          <w:sz w:val="32"/>
          <w:szCs w:val="20"/>
        </w:rPr>
      </w:pPr>
      <w:bookmarkStart w:id="26" w:name="_Toc238007574"/>
      <w:bookmarkStart w:id="27" w:name="_Toc102633981"/>
      <w:bookmarkStart w:id="28" w:name="_Toc102634256"/>
      <w:bookmarkStart w:id="29" w:name="_Toc102634407"/>
      <w:bookmarkStart w:id="30" w:name="_Toc23543"/>
      <w:bookmarkStart w:id="31" w:name="_Toc15033754"/>
      <w:bookmarkStart w:id="32" w:name="_Toc102633907"/>
      <w:bookmarkStart w:id="33" w:name="_Toc272364536"/>
      <w:bookmarkStart w:id="34" w:name="_Toc192907201"/>
      <w:bookmarkStart w:id="35" w:name="_Toc198026273"/>
      <w:bookmarkStart w:id="36" w:name="_Toc7829"/>
      <w:r>
        <w:rPr>
          <w:rFonts w:ascii="Calibri" w:eastAsia="楷体_GB2312" w:hAnsi="Calibri"/>
          <w:b/>
          <w:kern w:val="0"/>
          <w:sz w:val="32"/>
          <w:szCs w:val="20"/>
        </w:rPr>
        <w:t>第一节</w:t>
      </w:r>
      <w:r>
        <w:rPr>
          <w:rFonts w:ascii="Calibri" w:eastAsia="楷体_GB2312" w:hAnsi="Calibri"/>
          <w:b/>
          <w:kern w:val="0"/>
          <w:sz w:val="32"/>
          <w:szCs w:val="20"/>
        </w:rPr>
        <w:t xml:space="preserve"> </w:t>
      </w:r>
      <w:r>
        <w:rPr>
          <w:rFonts w:ascii="Calibri" w:eastAsia="楷体_GB2312" w:hAnsi="Calibri"/>
          <w:b/>
          <w:kern w:val="0"/>
          <w:sz w:val="32"/>
          <w:szCs w:val="20"/>
        </w:rPr>
        <w:t>评价单元的划分</w:t>
      </w:r>
      <w:bookmarkEnd w:id="26"/>
      <w:bookmarkEnd w:id="27"/>
      <w:bookmarkEnd w:id="28"/>
      <w:bookmarkEnd w:id="29"/>
      <w:bookmarkEnd w:id="30"/>
      <w:bookmarkEnd w:id="31"/>
      <w:bookmarkEnd w:id="32"/>
      <w:bookmarkEnd w:id="33"/>
      <w:bookmarkEnd w:id="34"/>
      <w:bookmarkEnd w:id="35"/>
      <w:bookmarkEnd w:id="36"/>
    </w:p>
    <w:p w:rsidR="00F54609" w:rsidRDefault="00FB42E9">
      <w:pPr>
        <w:pStyle w:val="6"/>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rsidR="00F54609" w:rsidRDefault="00FB42E9">
      <w:pPr>
        <w:pStyle w:val="3"/>
        <w:widowControl w:val="0"/>
        <w:spacing w:line="360" w:lineRule="auto"/>
        <w:ind w:firstLine="560"/>
        <w:jc w:val="both"/>
      </w:pPr>
      <w:bookmarkStart w:id="37" w:name="_Toc102634257"/>
      <w:r>
        <w:rPr>
          <w:rFonts w:hint="eastAsia"/>
        </w:rPr>
        <w:t>一</w:t>
      </w:r>
      <w:r>
        <w:t>、以危险有害因素的类别为主划分评价单元</w:t>
      </w:r>
      <w:bookmarkEnd w:id="37"/>
    </w:p>
    <w:p w:rsidR="00F54609" w:rsidRDefault="00FB42E9">
      <w:pPr>
        <w:pStyle w:val="6"/>
        <w:widowControl w:val="0"/>
        <w:spacing w:line="360" w:lineRule="auto"/>
        <w:ind w:firstLine="560"/>
        <w:rPr>
          <w:rFonts w:ascii="宋体"/>
        </w:rPr>
      </w:pPr>
      <w:r>
        <w:rPr>
          <w:rFonts w:ascii="宋体" w:hint="eastAsia"/>
        </w:rPr>
        <w:t>1</w:t>
      </w:r>
      <w:r>
        <w:rPr>
          <w:rFonts w:ascii="宋体" w:hint="eastAsia"/>
        </w:rPr>
        <w:t>、</w:t>
      </w:r>
      <w:r>
        <w:rPr>
          <w:rFonts w:ascii="宋体"/>
        </w:rPr>
        <w:t>对工艺方案、总体布置及自然条件、社会环境等影响系统的危险有害因素的分析和评价，宜将整个系统作为一个评价单元。</w:t>
      </w:r>
    </w:p>
    <w:p w:rsidR="00F54609" w:rsidRDefault="00FB42E9">
      <w:pPr>
        <w:pStyle w:val="6"/>
        <w:widowControl w:val="0"/>
        <w:spacing w:line="360" w:lineRule="auto"/>
        <w:ind w:firstLine="560"/>
        <w:rPr>
          <w:rFonts w:ascii="宋体"/>
        </w:rPr>
      </w:pPr>
      <w:r>
        <w:rPr>
          <w:rFonts w:ascii="宋体" w:hint="eastAsia"/>
        </w:rPr>
        <w:t>2</w:t>
      </w:r>
      <w:r>
        <w:rPr>
          <w:rFonts w:ascii="宋体" w:hint="eastAsia"/>
        </w:rPr>
        <w:t>、</w:t>
      </w:r>
      <w:r>
        <w:rPr>
          <w:rFonts w:ascii="宋体"/>
        </w:rPr>
        <w:t>将具有共性危险有害因素的场所和装置划分为一个评价单元。</w:t>
      </w:r>
    </w:p>
    <w:p w:rsidR="00F54609" w:rsidRDefault="00FB42E9">
      <w:pPr>
        <w:pStyle w:val="3"/>
        <w:widowControl w:val="0"/>
        <w:spacing w:line="360" w:lineRule="auto"/>
        <w:ind w:firstLine="560"/>
        <w:jc w:val="both"/>
      </w:pPr>
      <w:bookmarkStart w:id="38" w:name="_Toc102634258"/>
      <w:r>
        <w:rPr>
          <w:rFonts w:hint="eastAsia"/>
        </w:rPr>
        <w:t>二</w:t>
      </w:r>
      <w:r>
        <w:t>、以物质特征划分评价单元</w:t>
      </w:r>
      <w:bookmarkEnd w:id="38"/>
    </w:p>
    <w:p w:rsidR="00F54609" w:rsidRDefault="00FB42E9">
      <w:pPr>
        <w:pStyle w:val="6"/>
        <w:widowControl w:val="0"/>
        <w:spacing w:line="360" w:lineRule="auto"/>
        <w:ind w:firstLine="560"/>
        <w:rPr>
          <w:rFonts w:ascii="宋体"/>
        </w:rPr>
      </w:pPr>
      <w:r>
        <w:rPr>
          <w:rFonts w:ascii="宋体"/>
        </w:rPr>
        <w:t>评价过程中常</w:t>
      </w:r>
      <w:proofErr w:type="gramStart"/>
      <w:r>
        <w:rPr>
          <w:rFonts w:ascii="宋体"/>
        </w:rPr>
        <w:t>按</w:t>
      </w:r>
      <w:r>
        <w:rPr>
          <w:rFonts w:ascii="宋体"/>
        </w:rPr>
        <w:t>装</w:t>
      </w:r>
      <w:proofErr w:type="gramEnd"/>
      <w:r>
        <w:rPr>
          <w:rFonts w:ascii="宋体"/>
        </w:rPr>
        <w:t>置工艺功能、布置的相对独立性、工艺条件及贮存、处理危险物质的潜在化学能、毒性和危险物质的数量等划分评价单元。</w:t>
      </w:r>
    </w:p>
    <w:p w:rsidR="00F54609" w:rsidRDefault="00FB42E9">
      <w:pPr>
        <w:pStyle w:val="6"/>
        <w:widowControl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rsidR="00F54609" w:rsidRDefault="00FB42E9">
      <w:pPr>
        <w:pStyle w:val="6"/>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F54609" w:rsidRDefault="00FB42E9">
      <w:pPr>
        <w:pStyle w:val="6"/>
        <w:widowControl w:val="0"/>
        <w:spacing w:line="360" w:lineRule="auto"/>
        <w:ind w:firstLine="560"/>
        <w:rPr>
          <w:rFonts w:ascii="宋体"/>
        </w:rPr>
      </w:pPr>
      <w:r>
        <w:rPr>
          <w:rFonts w:ascii="宋体"/>
        </w:rPr>
        <w:t>1</w:t>
      </w:r>
      <w:r>
        <w:rPr>
          <w:rFonts w:ascii="宋体"/>
        </w:rPr>
        <w:t>、安全管理；</w:t>
      </w:r>
    </w:p>
    <w:p w:rsidR="00F54609" w:rsidRDefault="00FB42E9">
      <w:pPr>
        <w:pStyle w:val="6"/>
        <w:widowControl w:val="0"/>
        <w:spacing w:line="360" w:lineRule="auto"/>
        <w:ind w:firstLine="560"/>
        <w:rPr>
          <w:rFonts w:ascii="宋体"/>
        </w:rPr>
      </w:pPr>
      <w:r>
        <w:rPr>
          <w:rFonts w:ascii="宋体"/>
        </w:rPr>
        <w:t>2</w:t>
      </w:r>
      <w:r>
        <w:rPr>
          <w:rFonts w:ascii="宋体"/>
        </w:rPr>
        <w:t>、站址选择及总</w:t>
      </w:r>
      <w:r>
        <w:rPr>
          <w:rFonts w:ascii="宋体" w:hint="eastAsia"/>
        </w:rPr>
        <w:t>平面</w:t>
      </w:r>
      <w:r>
        <w:rPr>
          <w:rFonts w:ascii="宋体"/>
        </w:rPr>
        <w:t>布置；</w:t>
      </w:r>
    </w:p>
    <w:p w:rsidR="00F54609" w:rsidRDefault="00FB42E9">
      <w:pPr>
        <w:pStyle w:val="6"/>
        <w:widowControl w:val="0"/>
        <w:spacing w:line="360" w:lineRule="auto"/>
        <w:ind w:firstLine="560"/>
        <w:rPr>
          <w:rFonts w:ascii="宋体"/>
        </w:rPr>
      </w:pPr>
      <w:r>
        <w:rPr>
          <w:rFonts w:ascii="宋体"/>
        </w:rPr>
        <w:t>3</w:t>
      </w:r>
      <w:r>
        <w:rPr>
          <w:rFonts w:ascii="宋体"/>
        </w:rPr>
        <w:t>、加油工艺及设施；</w:t>
      </w:r>
    </w:p>
    <w:p w:rsidR="00F54609" w:rsidRDefault="00FB42E9">
      <w:pPr>
        <w:pStyle w:val="6"/>
        <w:widowControl w:val="0"/>
        <w:spacing w:line="360" w:lineRule="auto"/>
        <w:ind w:firstLine="560"/>
        <w:rPr>
          <w:rFonts w:ascii="宋体"/>
        </w:rPr>
      </w:pPr>
      <w:r>
        <w:rPr>
          <w:rFonts w:ascii="宋体"/>
        </w:rPr>
        <w:t>4</w:t>
      </w:r>
      <w:r>
        <w:rPr>
          <w:rFonts w:ascii="宋体"/>
        </w:rPr>
        <w:t>、其它安全设施等。</w:t>
      </w:r>
      <w:bookmarkStart w:id="39" w:name="_Toc188080068"/>
      <w:bookmarkStart w:id="40" w:name="_Toc272364537"/>
      <w:bookmarkStart w:id="41" w:name="_Toc188079886"/>
      <w:bookmarkStart w:id="42" w:name="_Toc15033755"/>
      <w:bookmarkStart w:id="43" w:name="_Toc19785"/>
      <w:bookmarkStart w:id="44" w:name="_Toc24232"/>
      <w:bookmarkStart w:id="45" w:name="_Toc238007575"/>
      <w:bookmarkStart w:id="46" w:name="_Toc198026274"/>
      <w:bookmarkStart w:id="47" w:name="_Toc192907202"/>
    </w:p>
    <w:p w:rsidR="00F54609" w:rsidRDefault="00FB42E9">
      <w:pPr>
        <w:snapToGrid w:val="0"/>
        <w:spacing w:before="120" w:after="120" w:line="560" w:lineRule="exact"/>
        <w:jc w:val="center"/>
        <w:outlineLvl w:val="1"/>
        <w:rPr>
          <w:rFonts w:ascii="Calibri" w:eastAsia="楷体_GB2312" w:hAnsi="Calibri"/>
          <w:b/>
          <w:kern w:val="0"/>
          <w:sz w:val="32"/>
          <w:szCs w:val="20"/>
        </w:rPr>
      </w:pPr>
      <w:bookmarkStart w:id="48" w:name="_Toc102633908"/>
      <w:bookmarkStart w:id="49" w:name="_Toc102634408"/>
      <w:bookmarkStart w:id="50" w:name="_Toc102633982"/>
      <w:bookmarkStart w:id="51" w:name="_Toc102634259"/>
      <w:r>
        <w:rPr>
          <w:rFonts w:ascii="Calibri" w:eastAsia="楷体_GB2312" w:hAnsi="Calibri"/>
          <w:b/>
          <w:kern w:val="0"/>
          <w:sz w:val="32"/>
          <w:szCs w:val="20"/>
        </w:rPr>
        <w:t>第二节</w:t>
      </w:r>
      <w:r>
        <w:rPr>
          <w:rFonts w:ascii="Calibri" w:eastAsia="楷体_GB2312" w:hAnsi="Calibri"/>
          <w:b/>
          <w:kern w:val="0"/>
          <w:sz w:val="32"/>
          <w:szCs w:val="20"/>
        </w:rPr>
        <w:t xml:space="preserve"> </w:t>
      </w:r>
      <w:r>
        <w:rPr>
          <w:rFonts w:ascii="Calibri" w:eastAsia="楷体_GB2312" w:hAnsi="Calibri"/>
          <w:b/>
          <w:kern w:val="0"/>
          <w:sz w:val="32"/>
          <w:szCs w:val="20"/>
        </w:rPr>
        <w:t>评价方法的选择</w:t>
      </w:r>
      <w:bookmarkEnd w:id="39"/>
      <w:bookmarkEnd w:id="40"/>
      <w:bookmarkEnd w:id="41"/>
      <w:bookmarkEnd w:id="42"/>
      <w:bookmarkEnd w:id="43"/>
      <w:bookmarkEnd w:id="44"/>
      <w:bookmarkEnd w:id="45"/>
      <w:bookmarkEnd w:id="46"/>
      <w:bookmarkEnd w:id="47"/>
      <w:bookmarkEnd w:id="48"/>
      <w:bookmarkEnd w:id="49"/>
      <w:bookmarkEnd w:id="50"/>
      <w:bookmarkEnd w:id="51"/>
    </w:p>
    <w:p w:rsidR="00F54609" w:rsidRDefault="00FB42E9">
      <w:pPr>
        <w:pStyle w:val="6"/>
        <w:widowControl w:val="0"/>
        <w:spacing w:line="360" w:lineRule="auto"/>
        <w:ind w:firstLine="560"/>
        <w:rPr>
          <w:rFonts w:ascii="宋体"/>
        </w:rPr>
      </w:pPr>
      <w:r>
        <w:rPr>
          <w:rFonts w:ascii="宋体"/>
        </w:rPr>
        <w:lastRenderedPageBreak/>
        <w:t>在进行安全评价时，应该在</w:t>
      </w:r>
      <w:r>
        <w:rPr>
          <w:rFonts w:ascii="宋体"/>
        </w:rPr>
        <w:t>认真分析并熟悉评价系统的前提下，选择安全评价方法。选择安全评价方法应遵循充分性、系统性、针对性和合理性的原则。</w:t>
      </w:r>
    </w:p>
    <w:p w:rsidR="00F54609" w:rsidRDefault="00FB42E9">
      <w:pPr>
        <w:pStyle w:val="6"/>
        <w:widowControl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F54609" w:rsidRDefault="00FB42E9">
      <w:pPr>
        <w:pStyle w:val="6"/>
        <w:widowControl w:val="0"/>
        <w:spacing w:line="360" w:lineRule="auto"/>
        <w:ind w:firstLine="560"/>
        <w:rPr>
          <w:rFonts w:ascii="宋体"/>
        </w:rPr>
      </w:pPr>
      <w:r>
        <w:rPr>
          <w:rFonts w:ascii="宋体"/>
        </w:rPr>
        <w:t>根据本次安全评价的特点，结合</w:t>
      </w:r>
      <w:r>
        <w:rPr>
          <w:rFonts w:ascii="宋体" w:hint="eastAsia"/>
        </w:rPr>
        <w:t>新泰市明信加油站</w:t>
      </w:r>
      <w:r>
        <w:rPr>
          <w:rFonts w:ascii="宋体"/>
        </w:rPr>
        <w:t>的具体情况，选用安全检查表</w:t>
      </w:r>
      <w:r>
        <w:rPr>
          <w:rFonts w:ascii="宋体"/>
        </w:rPr>
        <w:t>、事故树法及危险度评价法对加油站进行评价。具体应用如下表所示：</w:t>
      </w:r>
    </w:p>
    <w:p w:rsidR="00F54609" w:rsidRDefault="00FB42E9">
      <w:pPr>
        <w:pStyle w:val="5"/>
        <w:widowControl w:val="0"/>
        <w:outlineLvl w:val="9"/>
        <w:rPr>
          <w:rFonts w:ascii="黑体" w:hAnsi="黑体"/>
        </w:rPr>
      </w:pPr>
      <w:r>
        <w:rPr>
          <w:rFonts w:ascii="黑体" w:hAnsi="黑体"/>
        </w:rPr>
        <w:t>表</w:t>
      </w:r>
      <w:r>
        <w:rPr>
          <w:rFonts w:ascii="黑体" w:hAnsi="黑体"/>
        </w:rPr>
        <w:t xml:space="preserve">4.2-1 </w:t>
      </w:r>
      <w:r>
        <w:rPr>
          <w:rFonts w:ascii="黑体" w:hAnsi="黑体"/>
        </w:rPr>
        <w:t>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2474"/>
        <w:gridCol w:w="2305"/>
        <w:gridCol w:w="2253"/>
        <w:gridCol w:w="1871"/>
      </w:tblGrid>
      <w:tr w:rsidR="00F54609">
        <w:trPr>
          <w:trHeight w:val="340"/>
          <w:jc w:val="center"/>
        </w:trPr>
        <w:tc>
          <w:tcPr>
            <w:tcW w:w="376" w:type="pct"/>
            <w:vMerge w:val="restart"/>
            <w:vAlign w:val="center"/>
          </w:tcPr>
          <w:p w:rsidR="00F54609" w:rsidRDefault="00FB42E9">
            <w:pPr>
              <w:pStyle w:val="50"/>
              <w:widowControl w:val="0"/>
              <w:spacing w:line="360" w:lineRule="auto"/>
              <w:rPr>
                <w:rFonts w:ascii="宋体"/>
                <w:b/>
                <w:lang w:val="en-GB"/>
              </w:rPr>
            </w:pPr>
            <w:r>
              <w:rPr>
                <w:rFonts w:ascii="宋体"/>
                <w:b/>
                <w:lang w:val="en-GB"/>
              </w:rPr>
              <w:t>序号</w:t>
            </w:r>
          </w:p>
        </w:tc>
        <w:tc>
          <w:tcPr>
            <w:tcW w:w="1285" w:type="pct"/>
            <w:vMerge w:val="restart"/>
            <w:vAlign w:val="center"/>
          </w:tcPr>
          <w:p w:rsidR="00F54609" w:rsidRDefault="00FB42E9">
            <w:pPr>
              <w:pStyle w:val="50"/>
              <w:widowControl w:val="0"/>
              <w:spacing w:line="360" w:lineRule="auto"/>
              <w:rPr>
                <w:rFonts w:ascii="宋体"/>
                <w:b/>
              </w:rPr>
            </w:pPr>
            <w:r>
              <w:rPr>
                <w:rFonts w:ascii="宋体"/>
                <w:b/>
                <w:bCs/>
                <w:lang w:val="en-GB"/>
              </w:rPr>
              <w:t>评价单元</w:t>
            </w:r>
          </w:p>
        </w:tc>
        <w:tc>
          <w:tcPr>
            <w:tcW w:w="3339" w:type="pct"/>
            <w:gridSpan w:val="3"/>
            <w:vAlign w:val="center"/>
          </w:tcPr>
          <w:p w:rsidR="00F54609" w:rsidRDefault="00FB42E9">
            <w:pPr>
              <w:pStyle w:val="50"/>
              <w:widowControl w:val="0"/>
              <w:spacing w:line="360" w:lineRule="auto"/>
              <w:rPr>
                <w:rFonts w:ascii="宋体"/>
                <w:b/>
              </w:rPr>
            </w:pPr>
            <w:r>
              <w:rPr>
                <w:rFonts w:ascii="宋体"/>
                <w:b/>
                <w:lang w:val="en-GB"/>
              </w:rPr>
              <w:t>评价方法</w:t>
            </w:r>
          </w:p>
        </w:tc>
      </w:tr>
      <w:tr w:rsidR="00F54609">
        <w:trPr>
          <w:trHeight w:val="340"/>
          <w:jc w:val="center"/>
        </w:trPr>
        <w:tc>
          <w:tcPr>
            <w:tcW w:w="376" w:type="pct"/>
            <w:vMerge/>
            <w:vAlign w:val="center"/>
          </w:tcPr>
          <w:p w:rsidR="00F54609" w:rsidRDefault="00F54609">
            <w:pPr>
              <w:pStyle w:val="50"/>
              <w:widowControl w:val="0"/>
              <w:spacing w:line="360" w:lineRule="auto"/>
              <w:rPr>
                <w:rFonts w:ascii="宋体"/>
                <w:b/>
                <w:lang w:val="en-GB"/>
              </w:rPr>
            </w:pPr>
          </w:p>
        </w:tc>
        <w:tc>
          <w:tcPr>
            <w:tcW w:w="1285" w:type="pct"/>
            <w:vMerge/>
            <w:vAlign w:val="center"/>
          </w:tcPr>
          <w:p w:rsidR="00F54609" w:rsidRDefault="00F54609">
            <w:pPr>
              <w:pStyle w:val="50"/>
              <w:widowControl w:val="0"/>
              <w:spacing w:line="360" w:lineRule="auto"/>
              <w:rPr>
                <w:rFonts w:ascii="宋体"/>
                <w:b/>
              </w:rPr>
            </w:pPr>
          </w:p>
        </w:tc>
        <w:tc>
          <w:tcPr>
            <w:tcW w:w="1197" w:type="pct"/>
            <w:vAlign w:val="center"/>
          </w:tcPr>
          <w:p w:rsidR="00F54609" w:rsidRDefault="00FB42E9">
            <w:pPr>
              <w:pStyle w:val="50"/>
              <w:widowControl w:val="0"/>
              <w:spacing w:line="360" w:lineRule="auto"/>
              <w:rPr>
                <w:rFonts w:ascii="宋体"/>
                <w:b/>
                <w:lang w:val="en-GB"/>
              </w:rPr>
            </w:pPr>
            <w:r>
              <w:rPr>
                <w:rFonts w:ascii="宋体"/>
                <w:b/>
                <w:lang w:val="en-GB"/>
              </w:rPr>
              <w:t>安全检查表</w:t>
            </w:r>
          </w:p>
        </w:tc>
        <w:tc>
          <w:tcPr>
            <w:tcW w:w="1170" w:type="pct"/>
            <w:vAlign w:val="center"/>
          </w:tcPr>
          <w:p w:rsidR="00F54609" w:rsidRDefault="00FB42E9">
            <w:pPr>
              <w:pStyle w:val="50"/>
              <w:widowControl w:val="0"/>
              <w:spacing w:line="360" w:lineRule="auto"/>
              <w:rPr>
                <w:rFonts w:ascii="宋体"/>
                <w:b/>
                <w:lang w:val="en-GB"/>
              </w:rPr>
            </w:pPr>
            <w:r>
              <w:rPr>
                <w:rFonts w:ascii="宋体"/>
                <w:b/>
                <w:lang w:val="en-GB"/>
              </w:rPr>
              <w:t>危险度评价法</w:t>
            </w:r>
          </w:p>
        </w:tc>
        <w:tc>
          <w:tcPr>
            <w:tcW w:w="972" w:type="pct"/>
            <w:vAlign w:val="center"/>
          </w:tcPr>
          <w:p w:rsidR="00F54609" w:rsidRDefault="00FB42E9">
            <w:pPr>
              <w:pStyle w:val="50"/>
              <w:widowControl w:val="0"/>
              <w:spacing w:line="360" w:lineRule="auto"/>
              <w:rPr>
                <w:rFonts w:ascii="宋体"/>
                <w:b/>
                <w:lang w:val="en-GB"/>
              </w:rPr>
            </w:pPr>
            <w:r>
              <w:rPr>
                <w:rFonts w:ascii="宋体"/>
                <w:b/>
                <w:lang w:val="en-GB"/>
              </w:rPr>
              <w:t>事故树法</w:t>
            </w:r>
          </w:p>
        </w:tc>
      </w:tr>
      <w:tr w:rsidR="00F54609">
        <w:trPr>
          <w:trHeight w:val="340"/>
          <w:jc w:val="center"/>
        </w:trPr>
        <w:tc>
          <w:tcPr>
            <w:tcW w:w="376" w:type="pct"/>
            <w:vAlign w:val="center"/>
          </w:tcPr>
          <w:p w:rsidR="00F54609" w:rsidRDefault="00FB42E9">
            <w:pPr>
              <w:pStyle w:val="50"/>
              <w:widowControl w:val="0"/>
              <w:spacing w:line="360" w:lineRule="auto"/>
              <w:rPr>
                <w:rFonts w:ascii="宋体"/>
                <w:lang w:val="en-GB"/>
              </w:rPr>
            </w:pPr>
            <w:r>
              <w:rPr>
                <w:rFonts w:ascii="宋体"/>
                <w:lang w:val="en-GB"/>
              </w:rPr>
              <w:t>1</w:t>
            </w:r>
          </w:p>
        </w:tc>
        <w:tc>
          <w:tcPr>
            <w:tcW w:w="1285" w:type="pct"/>
            <w:vAlign w:val="center"/>
          </w:tcPr>
          <w:p w:rsidR="00F54609" w:rsidRDefault="00FB42E9">
            <w:pPr>
              <w:pStyle w:val="50"/>
              <w:widowControl w:val="0"/>
              <w:spacing w:line="360" w:lineRule="auto"/>
              <w:rPr>
                <w:rFonts w:ascii="宋体"/>
                <w:lang w:val="en-GB"/>
              </w:rPr>
            </w:pPr>
            <w:r>
              <w:rPr>
                <w:rFonts w:ascii="宋体"/>
                <w:lang w:val="en-GB"/>
              </w:rPr>
              <w:t>安全管理单元</w:t>
            </w:r>
          </w:p>
        </w:tc>
        <w:tc>
          <w:tcPr>
            <w:tcW w:w="1197" w:type="pct"/>
            <w:vAlign w:val="center"/>
          </w:tcPr>
          <w:p w:rsidR="00F54609" w:rsidRDefault="00FB42E9">
            <w:pPr>
              <w:pStyle w:val="50"/>
              <w:widowControl w:val="0"/>
              <w:spacing w:line="360" w:lineRule="auto"/>
              <w:rPr>
                <w:rFonts w:ascii="宋体"/>
              </w:rPr>
            </w:pPr>
            <w:r>
              <w:rPr>
                <w:rFonts w:ascii="宋体" w:hAnsi="宋体" w:cs="宋体" w:hint="eastAsia"/>
              </w:rPr>
              <w:t>★</w:t>
            </w:r>
          </w:p>
        </w:tc>
        <w:tc>
          <w:tcPr>
            <w:tcW w:w="1170" w:type="pct"/>
            <w:vAlign w:val="center"/>
          </w:tcPr>
          <w:p w:rsidR="00F54609" w:rsidRDefault="00F54609">
            <w:pPr>
              <w:pStyle w:val="50"/>
              <w:widowControl w:val="0"/>
              <w:spacing w:line="360" w:lineRule="auto"/>
              <w:rPr>
                <w:rFonts w:ascii="宋体"/>
              </w:rPr>
            </w:pPr>
          </w:p>
        </w:tc>
        <w:tc>
          <w:tcPr>
            <w:tcW w:w="972" w:type="pct"/>
            <w:vAlign w:val="center"/>
          </w:tcPr>
          <w:p w:rsidR="00F54609" w:rsidRDefault="00F54609">
            <w:pPr>
              <w:pStyle w:val="50"/>
              <w:widowControl w:val="0"/>
              <w:spacing w:line="360" w:lineRule="auto"/>
              <w:rPr>
                <w:rFonts w:ascii="宋体"/>
              </w:rPr>
            </w:pPr>
          </w:p>
        </w:tc>
      </w:tr>
      <w:tr w:rsidR="00F54609">
        <w:trPr>
          <w:trHeight w:val="340"/>
          <w:jc w:val="center"/>
        </w:trPr>
        <w:tc>
          <w:tcPr>
            <w:tcW w:w="376" w:type="pct"/>
            <w:vAlign w:val="center"/>
          </w:tcPr>
          <w:p w:rsidR="00F54609" w:rsidRDefault="00FB42E9">
            <w:pPr>
              <w:pStyle w:val="50"/>
              <w:widowControl w:val="0"/>
              <w:spacing w:line="360" w:lineRule="auto"/>
              <w:rPr>
                <w:rFonts w:ascii="宋体"/>
                <w:lang w:val="en-GB"/>
              </w:rPr>
            </w:pPr>
            <w:r>
              <w:rPr>
                <w:rFonts w:ascii="宋体"/>
                <w:lang w:val="en-GB"/>
              </w:rPr>
              <w:t>2</w:t>
            </w:r>
          </w:p>
        </w:tc>
        <w:tc>
          <w:tcPr>
            <w:tcW w:w="1285" w:type="pct"/>
            <w:vAlign w:val="center"/>
          </w:tcPr>
          <w:p w:rsidR="00F54609" w:rsidRDefault="00FB42E9">
            <w:pPr>
              <w:pStyle w:val="50"/>
              <w:widowControl w:val="0"/>
              <w:spacing w:line="360" w:lineRule="auto"/>
              <w:rPr>
                <w:rFonts w:ascii="宋体"/>
                <w:lang w:val="en-GB"/>
              </w:rPr>
            </w:pPr>
            <w:r>
              <w:rPr>
                <w:rFonts w:ascii="宋体"/>
                <w:lang w:val="en-GB"/>
              </w:rPr>
              <w:t>站址选择及总平面布置</w:t>
            </w:r>
          </w:p>
        </w:tc>
        <w:tc>
          <w:tcPr>
            <w:tcW w:w="1197" w:type="pct"/>
            <w:vAlign w:val="center"/>
          </w:tcPr>
          <w:p w:rsidR="00F54609" w:rsidRDefault="00FB42E9">
            <w:pPr>
              <w:pStyle w:val="50"/>
              <w:widowControl w:val="0"/>
              <w:spacing w:line="360" w:lineRule="auto"/>
              <w:rPr>
                <w:rFonts w:ascii="宋体"/>
              </w:rPr>
            </w:pPr>
            <w:r>
              <w:rPr>
                <w:rFonts w:ascii="宋体" w:hAnsi="宋体" w:cs="宋体" w:hint="eastAsia"/>
              </w:rPr>
              <w:t>★</w:t>
            </w:r>
          </w:p>
        </w:tc>
        <w:tc>
          <w:tcPr>
            <w:tcW w:w="1170" w:type="pct"/>
            <w:vAlign w:val="center"/>
          </w:tcPr>
          <w:p w:rsidR="00F54609" w:rsidRDefault="00F54609">
            <w:pPr>
              <w:pStyle w:val="50"/>
              <w:widowControl w:val="0"/>
              <w:spacing w:line="360" w:lineRule="auto"/>
              <w:rPr>
                <w:rFonts w:ascii="宋体"/>
              </w:rPr>
            </w:pPr>
          </w:p>
        </w:tc>
        <w:tc>
          <w:tcPr>
            <w:tcW w:w="972" w:type="pct"/>
            <w:vAlign w:val="center"/>
          </w:tcPr>
          <w:p w:rsidR="00F54609" w:rsidRDefault="00F54609">
            <w:pPr>
              <w:pStyle w:val="50"/>
              <w:widowControl w:val="0"/>
              <w:spacing w:line="360" w:lineRule="auto"/>
              <w:rPr>
                <w:rFonts w:ascii="宋体"/>
              </w:rPr>
            </w:pPr>
          </w:p>
        </w:tc>
      </w:tr>
      <w:tr w:rsidR="00F54609">
        <w:trPr>
          <w:trHeight w:val="340"/>
          <w:jc w:val="center"/>
        </w:trPr>
        <w:tc>
          <w:tcPr>
            <w:tcW w:w="376" w:type="pct"/>
            <w:vAlign w:val="center"/>
          </w:tcPr>
          <w:p w:rsidR="00F54609" w:rsidRDefault="00FB42E9">
            <w:pPr>
              <w:pStyle w:val="50"/>
              <w:widowControl w:val="0"/>
              <w:spacing w:line="360" w:lineRule="auto"/>
              <w:rPr>
                <w:rFonts w:ascii="宋体"/>
                <w:lang w:val="en-GB"/>
              </w:rPr>
            </w:pPr>
            <w:r>
              <w:rPr>
                <w:rFonts w:ascii="宋体"/>
                <w:lang w:val="en-GB"/>
              </w:rPr>
              <w:t>3</w:t>
            </w:r>
          </w:p>
        </w:tc>
        <w:tc>
          <w:tcPr>
            <w:tcW w:w="1285" w:type="pct"/>
            <w:vAlign w:val="center"/>
          </w:tcPr>
          <w:p w:rsidR="00F54609" w:rsidRDefault="00FB42E9">
            <w:pPr>
              <w:pStyle w:val="50"/>
              <w:widowControl w:val="0"/>
              <w:spacing w:line="360" w:lineRule="auto"/>
              <w:rPr>
                <w:rFonts w:ascii="宋体"/>
                <w:lang w:val="en-GB"/>
              </w:rPr>
            </w:pPr>
            <w:r>
              <w:rPr>
                <w:rFonts w:ascii="宋体"/>
                <w:lang w:val="en-GB"/>
              </w:rPr>
              <w:t>加油工艺及设施</w:t>
            </w:r>
          </w:p>
        </w:tc>
        <w:tc>
          <w:tcPr>
            <w:tcW w:w="1197" w:type="pct"/>
            <w:vAlign w:val="center"/>
          </w:tcPr>
          <w:p w:rsidR="00F54609" w:rsidRDefault="00FB42E9">
            <w:pPr>
              <w:pStyle w:val="50"/>
              <w:widowControl w:val="0"/>
              <w:spacing w:line="360" w:lineRule="auto"/>
              <w:rPr>
                <w:rFonts w:ascii="宋体"/>
              </w:rPr>
            </w:pPr>
            <w:r>
              <w:rPr>
                <w:rFonts w:ascii="宋体" w:hAnsi="宋体" w:cs="宋体" w:hint="eastAsia"/>
              </w:rPr>
              <w:t>★</w:t>
            </w:r>
          </w:p>
        </w:tc>
        <w:tc>
          <w:tcPr>
            <w:tcW w:w="1170" w:type="pct"/>
            <w:vAlign w:val="center"/>
          </w:tcPr>
          <w:p w:rsidR="00F54609" w:rsidRDefault="00FB42E9">
            <w:pPr>
              <w:pStyle w:val="50"/>
              <w:widowControl w:val="0"/>
              <w:spacing w:line="360" w:lineRule="auto"/>
              <w:rPr>
                <w:rFonts w:ascii="宋体"/>
              </w:rPr>
            </w:pPr>
            <w:r>
              <w:rPr>
                <w:rFonts w:ascii="宋体" w:hAnsi="宋体" w:cs="宋体" w:hint="eastAsia"/>
              </w:rPr>
              <w:t>★</w:t>
            </w:r>
          </w:p>
        </w:tc>
        <w:tc>
          <w:tcPr>
            <w:tcW w:w="972" w:type="pct"/>
            <w:vAlign w:val="center"/>
          </w:tcPr>
          <w:p w:rsidR="00F54609" w:rsidRDefault="00FB42E9">
            <w:pPr>
              <w:pStyle w:val="50"/>
              <w:widowControl w:val="0"/>
              <w:spacing w:line="360" w:lineRule="auto"/>
              <w:rPr>
                <w:rFonts w:ascii="宋体"/>
              </w:rPr>
            </w:pPr>
            <w:r>
              <w:rPr>
                <w:rFonts w:ascii="宋体" w:hAnsi="宋体" w:cs="宋体" w:hint="eastAsia"/>
              </w:rPr>
              <w:t>★</w:t>
            </w:r>
          </w:p>
        </w:tc>
      </w:tr>
      <w:tr w:rsidR="00F54609">
        <w:trPr>
          <w:trHeight w:val="340"/>
          <w:jc w:val="center"/>
        </w:trPr>
        <w:tc>
          <w:tcPr>
            <w:tcW w:w="376" w:type="pct"/>
            <w:vAlign w:val="center"/>
          </w:tcPr>
          <w:p w:rsidR="00F54609" w:rsidRDefault="00FB42E9">
            <w:pPr>
              <w:pStyle w:val="50"/>
              <w:widowControl w:val="0"/>
              <w:spacing w:line="360" w:lineRule="auto"/>
              <w:rPr>
                <w:rFonts w:ascii="宋体"/>
                <w:lang w:val="en-GB"/>
              </w:rPr>
            </w:pPr>
            <w:r>
              <w:rPr>
                <w:rFonts w:ascii="宋体"/>
                <w:lang w:val="en-GB"/>
              </w:rPr>
              <w:t>4</w:t>
            </w:r>
          </w:p>
        </w:tc>
        <w:tc>
          <w:tcPr>
            <w:tcW w:w="1285" w:type="pct"/>
            <w:vAlign w:val="center"/>
          </w:tcPr>
          <w:p w:rsidR="00F54609" w:rsidRDefault="00FB42E9">
            <w:pPr>
              <w:pStyle w:val="50"/>
              <w:widowControl w:val="0"/>
              <w:spacing w:line="360" w:lineRule="auto"/>
              <w:rPr>
                <w:rFonts w:ascii="宋体"/>
                <w:lang w:val="en-GB"/>
              </w:rPr>
            </w:pPr>
            <w:r>
              <w:rPr>
                <w:rFonts w:ascii="宋体"/>
                <w:lang w:val="en-GB"/>
              </w:rPr>
              <w:t>其它安全设施</w:t>
            </w:r>
          </w:p>
        </w:tc>
        <w:tc>
          <w:tcPr>
            <w:tcW w:w="1197" w:type="pct"/>
            <w:vAlign w:val="center"/>
          </w:tcPr>
          <w:p w:rsidR="00F54609" w:rsidRDefault="00FB42E9">
            <w:pPr>
              <w:pStyle w:val="50"/>
              <w:widowControl w:val="0"/>
              <w:spacing w:line="360" w:lineRule="auto"/>
              <w:rPr>
                <w:rFonts w:ascii="宋体"/>
              </w:rPr>
            </w:pPr>
            <w:r>
              <w:rPr>
                <w:rFonts w:ascii="宋体" w:hAnsi="宋体" w:cs="宋体" w:hint="eastAsia"/>
              </w:rPr>
              <w:t>★</w:t>
            </w:r>
          </w:p>
        </w:tc>
        <w:tc>
          <w:tcPr>
            <w:tcW w:w="1170" w:type="pct"/>
            <w:vAlign w:val="center"/>
          </w:tcPr>
          <w:p w:rsidR="00F54609" w:rsidRDefault="00F54609">
            <w:pPr>
              <w:pStyle w:val="50"/>
              <w:widowControl w:val="0"/>
              <w:spacing w:line="360" w:lineRule="auto"/>
              <w:rPr>
                <w:rFonts w:ascii="宋体"/>
              </w:rPr>
            </w:pPr>
          </w:p>
        </w:tc>
        <w:tc>
          <w:tcPr>
            <w:tcW w:w="972" w:type="pct"/>
            <w:vAlign w:val="center"/>
          </w:tcPr>
          <w:p w:rsidR="00F54609" w:rsidRDefault="00F54609">
            <w:pPr>
              <w:pStyle w:val="50"/>
              <w:widowControl w:val="0"/>
              <w:spacing w:line="360" w:lineRule="auto"/>
              <w:rPr>
                <w:rFonts w:ascii="宋体"/>
              </w:rPr>
            </w:pPr>
          </w:p>
        </w:tc>
      </w:tr>
    </w:tbl>
    <w:p w:rsidR="00F54609" w:rsidRDefault="00FB42E9">
      <w:pPr>
        <w:pStyle w:val="6"/>
        <w:widowControl w:val="0"/>
        <w:spacing w:line="360" w:lineRule="auto"/>
        <w:ind w:firstLine="420"/>
        <w:rPr>
          <w:rFonts w:ascii="黑体" w:eastAsia="黑体" w:hAnsi="黑体"/>
        </w:rPr>
      </w:pPr>
      <w:r>
        <w:rPr>
          <w:rFonts w:ascii="黑体" w:eastAsia="黑体" w:hAnsi="黑体"/>
          <w:sz w:val="21"/>
          <w:szCs w:val="21"/>
          <w:u w:color="000000"/>
        </w:rPr>
        <w:t>注：表中</w:t>
      </w:r>
      <w:r>
        <w:rPr>
          <w:rFonts w:ascii="黑体" w:eastAsia="黑体" w:hAnsi="黑体"/>
          <w:sz w:val="21"/>
          <w:szCs w:val="21"/>
          <w:u w:color="000000"/>
        </w:rPr>
        <w:t>“★”</w:t>
      </w:r>
      <w:r>
        <w:rPr>
          <w:rFonts w:ascii="黑体" w:eastAsia="黑体" w:hAnsi="黑体"/>
          <w:sz w:val="21"/>
          <w:szCs w:val="21"/>
          <w:u w:color="000000"/>
        </w:rPr>
        <w:t>表示采用的评价方法。</w:t>
      </w:r>
    </w:p>
    <w:p w:rsidR="00F54609" w:rsidRDefault="00F54609">
      <w:pPr>
        <w:pStyle w:val="6"/>
        <w:ind w:firstLine="560"/>
        <w:jc w:val="center"/>
        <w:rPr>
          <w:rFonts w:ascii="黑体" w:eastAsia="黑体" w:hAnsi="黑体"/>
        </w:rPr>
      </w:pPr>
    </w:p>
    <w:p w:rsidR="00F54609" w:rsidRDefault="00F54609">
      <w:pPr>
        <w:pStyle w:val="6"/>
        <w:ind w:firstLine="560"/>
        <w:jc w:val="center"/>
        <w:rPr>
          <w:rFonts w:ascii="黑体" w:eastAsia="黑体" w:hAnsi="黑体"/>
        </w:rPr>
      </w:pPr>
    </w:p>
    <w:bookmarkEnd w:id="20"/>
    <w:bookmarkEnd w:id="21"/>
    <w:bookmarkEnd w:id="22"/>
    <w:bookmarkEnd w:id="23"/>
    <w:bookmarkEnd w:id="24"/>
    <w:bookmarkEnd w:id="25"/>
    <w:p w:rsidR="00F54609" w:rsidRDefault="00FB42E9">
      <w:pPr>
        <w:pStyle w:val="1"/>
        <w:widowControl w:val="0"/>
        <w:adjustRightInd w:val="0"/>
        <w:snapToGrid w:val="0"/>
        <w:spacing w:beforeLines="150" w:before="468" w:afterLines="50" w:after="156" w:line="360" w:lineRule="auto"/>
      </w:pPr>
      <w:r>
        <w:lastRenderedPageBreak/>
        <w:t>第六章</w:t>
      </w:r>
      <w:r>
        <w:t xml:space="preserve">  </w:t>
      </w:r>
      <w:r>
        <w:t>安全对策措施及建议</w:t>
      </w:r>
    </w:p>
    <w:p w:rsidR="00F54609" w:rsidRDefault="00FB42E9">
      <w:pPr>
        <w:snapToGrid w:val="0"/>
        <w:spacing w:before="120" w:after="120" w:line="560" w:lineRule="exact"/>
        <w:jc w:val="center"/>
        <w:outlineLvl w:val="1"/>
        <w:rPr>
          <w:rFonts w:ascii="Calibri" w:eastAsia="楷体_GB2312" w:hAnsi="Calibri"/>
          <w:b/>
          <w:kern w:val="0"/>
          <w:sz w:val="32"/>
          <w:szCs w:val="20"/>
        </w:rPr>
      </w:pPr>
      <w:bookmarkStart w:id="52" w:name="_Toc339456079"/>
      <w:bookmarkStart w:id="53" w:name="_Toc225046264"/>
      <w:bookmarkStart w:id="54" w:name="_Toc102633915"/>
      <w:bookmarkStart w:id="55" w:name="_Toc102633989"/>
      <w:bookmarkStart w:id="56" w:name="_Toc102634277"/>
      <w:bookmarkStart w:id="57" w:name="_Toc4961"/>
      <w:bookmarkStart w:id="58" w:name="_Toc15033762"/>
      <w:bookmarkStart w:id="59" w:name="_Toc348877039"/>
      <w:bookmarkStart w:id="60" w:name="_Toc102634415"/>
      <w:bookmarkStart w:id="61" w:name="_Toc242065302"/>
      <w:r>
        <w:rPr>
          <w:rFonts w:ascii="Calibri" w:eastAsia="楷体_GB2312" w:hAnsi="Calibri"/>
          <w:b/>
          <w:kern w:val="0"/>
          <w:sz w:val="32"/>
          <w:szCs w:val="20"/>
        </w:rPr>
        <w:t>第一节</w:t>
      </w:r>
      <w:r>
        <w:rPr>
          <w:rFonts w:ascii="Calibri" w:eastAsia="楷体_GB2312" w:hAnsi="Calibri"/>
          <w:b/>
          <w:kern w:val="0"/>
          <w:sz w:val="32"/>
          <w:szCs w:val="20"/>
        </w:rPr>
        <w:t xml:space="preserve"> </w:t>
      </w:r>
      <w:bookmarkEnd w:id="52"/>
      <w:bookmarkEnd w:id="53"/>
      <w:r>
        <w:rPr>
          <w:rFonts w:ascii="Calibri" w:eastAsia="楷体_GB2312" w:hAnsi="Calibri"/>
          <w:b/>
          <w:kern w:val="0"/>
          <w:sz w:val="32"/>
          <w:szCs w:val="20"/>
        </w:rPr>
        <w:t>存在的问题及整改建议</w:t>
      </w:r>
      <w:bookmarkEnd w:id="54"/>
      <w:bookmarkEnd w:id="55"/>
      <w:bookmarkEnd w:id="56"/>
      <w:bookmarkEnd w:id="57"/>
      <w:bookmarkEnd w:id="58"/>
      <w:bookmarkEnd w:id="59"/>
      <w:bookmarkEnd w:id="60"/>
      <w:bookmarkEnd w:id="61"/>
    </w:p>
    <w:p w:rsidR="00F54609" w:rsidRDefault="00FB42E9">
      <w:pPr>
        <w:adjustRightInd w:val="0"/>
        <w:snapToGrid w:val="0"/>
        <w:spacing w:line="360" w:lineRule="auto"/>
        <w:ind w:firstLineChars="200" w:firstLine="560"/>
        <w:rPr>
          <w:rFonts w:ascii="宋体"/>
          <w:kern w:val="0"/>
          <w:sz w:val="28"/>
          <w:szCs w:val="20"/>
        </w:rPr>
      </w:pPr>
      <w:bookmarkStart w:id="62" w:name="_Toc49590281"/>
      <w:bookmarkStart w:id="63" w:name="_Toc15033763"/>
      <w:r>
        <w:rPr>
          <w:rFonts w:ascii="宋体"/>
          <w:kern w:val="0"/>
          <w:sz w:val="28"/>
          <w:szCs w:val="20"/>
        </w:rPr>
        <w:t>通过现场检查和审查有关资料</w:t>
      </w:r>
      <w:r>
        <w:rPr>
          <w:rFonts w:ascii="宋体" w:hint="eastAsia"/>
          <w:kern w:val="0"/>
          <w:sz w:val="28"/>
          <w:szCs w:val="20"/>
        </w:rPr>
        <w:t>可以看出，该加油站问题如下：</w:t>
      </w:r>
    </w:p>
    <w:bookmarkEnd w:id="62"/>
    <w:bookmarkEnd w:id="63"/>
    <w:p w:rsidR="00F54609" w:rsidRDefault="00FB42E9">
      <w:pPr>
        <w:widowControl/>
        <w:spacing w:line="360" w:lineRule="auto"/>
        <w:jc w:val="center"/>
        <w:textAlignment w:val="baseline"/>
        <w:rPr>
          <w:rFonts w:eastAsia="黑体"/>
          <w:kern w:val="0"/>
          <w:sz w:val="24"/>
          <w:u w:color="000000"/>
        </w:rPr>
      </w:pPr>
      <w:r>
        <w:rPr>
          <w:rFonts w:ascii="黑体" w:eastAsia="黑体" w:hAnsi="黑体" w:cs="黑体" w:hint="eastAsia"/>
          <w:kern w:val="0"/>
          <w:sz w:val="24"/>
          <w:u w:color="000000"/>
        </w:rPr>
        <w:t>表</w:t>
      </w:r>
      <w:r>
        <w:rPr>
          <w:rFonts w:ascii="黑体" w:eastAsia="黑体" w:hAnsi="黑体" w:cs="黑体" w:hint="eastAsia"/>
          <w:kern w:val="0"/>
          <w:sz w:val="24"/>
          <w:u w:color="000000"/>
        </w:rPr>
        <w:t>6.1-1</w:t>
      </w:r>
      <w:r>
        <w:rPr>
          <w:rFonts w:eastAsia="黑体" w:hint="eastAsia"/>
          <w:kern w:val="0"/>
          <w:sz w:val="24"/>
          <w:u w:color="000000"/>
        </w:rPr>
        <w:t xml:space="preserve">  </w:t>
      </w:r>
      <w:r>
        <w:rPr>
          <w:rFonts w:eastAsia="黑体" w:hint="eastAsia"/>
          <w:kern w:val="0"/>
          <w:sz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F54609">
        <w:trPr>
          <w:trHeight w:val="503"/>
          <w:tblHeader/>
          <w:jc w:val="center"/>
        </w:trPr>
        <w:tc>
          <w:tcPr>
            <w:tcW w:w="817"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序号</w:t>
            </w:r>
          </w:p>
        </w:tc>
        <w:tc>
          <w:tcPr>
            <w:tcW w:w="3845"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企业存在的问题</w:t>
            </w:r>
          </w:p>
        </w:tc>
        <w:tc>
          <w:tcPr>
            <w:tcW w:w="4740"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
                <w:bCs/>
                <w:kern w:val="0"/>
                <w:position w:val="2"/>
                <w:u w:color="000000"/>
              </w:rPr>
            </w:pPr>
            <w:r>
              <w:rPr>
                <w:rFonts w:ascii="宋体" w:hAnsi="宋体"/>
                <w:b/>
                <w:bCs/>
                <w:kern w:val="0"/>
                <w:position w:val="2"/>
                <w:u w:color="000000"/>
              </w:rPr>
              <w:t>整改建议措施</w:t>
            </w:r>
          </w:p>
        </w:tc>
      </w:tr>
      <w:tr w:rsidR="00F54609">
        <w:trPr>
          <w:jc w:val="center"/>
        </w:trPr>
        <w:tc>
          <w:tcPr>
            <w:tcW w:w="817"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1</w:t>
            </w:r>
          </w:p>
        </w:tc>
        <w:tc>
          <w:tcPr>
            <w:tcW w:w="3845"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油罐人孔井管道流向标识缺失；</w:t>
            </w:r>
          </w:p>
        </w:tc>
        <w:tc>
          <w:tcPr>
            <w:tcW w:w="4740"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管道增加流向标识。</w:t>
            </w:r>
          </w:p>
        </w:tc>
      </w:tr>
      <w:tr w:rsidR="00F54609">
        <w:trPr>
          <w:jc w:val="center"/>
        </w:trPr>
        <w:tc>
          <w:tcPr>
            <w:tcW w:w="817"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2</w:t>
            </w:r>
          </w:p>
        </w:tc>
        <w:tc>
          <w:tcPr>
            <w:tcW w:w="3845"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加油岛</w:t>
            </w:r>
            <w:proofErr w:type="gramStart"/>
            <w:r>
              <w:rPr>
                <w:rFonts w:ascii="宋体" w:hAnsi="宋体" w:hint="eastAsia"/>
                <w:kern w:val="0"/>
                <w:u w:color="000000"/>
              </w:rPr>
              <w:t>一侧未</w:t>
            </w:r>
            <w:proofErr w:type="gramEnd"/>
            <w:r>
              <w:rPr>
                <w:rFonts w:ascii="宋体" w:hAnsi="宋体" w:hint="eastAsia"/>
                <w:kern w:val="0"/>
                <w:u w:color="000000"/>
              </w:rPr>
              <w:t>设置防撞栏；</w:t>
            </w:r>
          </w:p>
        </w:tc>
        <w:tc>
          <w:tcPr>
            <w:tcW w:w="4740"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增设防撞栏。</w:t>
            </w:r>
          </w:p>
        </w:tc>
      </w:tr>
      <w:tr w:rsidR="00F54609">
        <w:trPr>
          <w:jc w:val="center"/>
        </w:trPr>
        <w:tc>
          <w:tcPr>
            <w:tcW w:w="817"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3</w:t>
            </w:r>
          </w:p>
        </w:tc>
        <w:tc>
          <w:tcPr>
            <w:tcW w:w="3845"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油罐井口盖板和接线盒未接地；</w:t>
            </w:r>
          </w:p>
        </w:tc>
        <w:tc>
          <w:tcPr>
            <w:tcW w:w="4740"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油罐人孔井盖板和接线盒进行接地。</w:t>
            </w:r>
          </w:p>
        </w:tc>
      </w:tr>
      <w:tr w:rsidR="00F54609">
        <w:trPr>
          <w:jc w:val="center"/>
        </w:trPr>
        <w:tc>
          <w:tcPr>
            <w:tcW w:w="817"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4</w:t>
            </w:r>
          </w:p>
        </w:tc>
        <w:tc>
          <w:tcPr>
            <w:tcW w:w="3845"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人体</w:t>
            </w:r>
            <w:proofErr w:type="gramStart"/>
            <w:r>
              <w:rPr>
                <w:rFonts w:ascii="宋体" w:hAnsi="宋体" w:hint="eastAsia"/>
                <w:kern w:val="0"/>
                <w:u w:color="000000"/>
              </w:rPr>
              <w:t>静电释放仪无报警</w:t>
            </w:r>
            <w:proofErr w:type="gramEnd"/>
            <w:r>
              <w:rPr>
                <w:rFonts w:ascii="宋体" w:hAnsi="宋体" w:hint="eastAsia"/>
                <w:kern w:val="0"/>
                <w:u w:color="000000"/>
              </w:rPr>
              <w:t>功能；</w:t>
            </w:r>
          </w:p>
        </w:tc>
        <w:tc>
          <w:tcPr>
            <w:tcW w:w="4740"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更换人体静电释放仪。</w:t>
            </w:r>
          </w:p>
        </w:tc>
      </w:tr>
      <w:tr w:rsidR="00F54609">
        <w:trPr>
          <w:jc w:val="center"/>
        </w:trPr>
        <w:tc>
          <w:tcPr>
            <w:tcW w:w="817"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bCs/>
                <w:kern w:val="0"/>
                <w:position w:val="2"/>
                <w:u w:color="000000"/>
              </w:rPr>
            </w:pPr>
            <w:r>
              <w:rPr>
                <w:rFonts w:ascii="宋体" w:hAnsi="宋体" w:hint="eastAsia"/>
                <w:bCs/>
                <w:kern w:val="0"/>
                <w:position w:val="2"/>
                <w:u w:color="000000"/>
              </w:rPr>
              <w:t>5</w:t>
            </w:r>
          </w:p>
        </w:tc>
        <w:tc>
          <w:tcPr>
            <w:tcW w:w="3845"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油罐距北侧洗车机</w:t>
            </w:r>
            <w:r>
              <w:rPr>
                <w:rFonts w:ascii="宋体" w:hAnsi="宋体" w:hint="eastAsia"/>
                <w:kern w:val="0"/>
                <w:u w:color="000000"/>
              </w:rPr>
              <w:t>间</w:t>
            </w:r>
            <w:r>
              <w:rPr>
                <w:rFonts w:ascii="宋体" w:hAnsi="宋体" w:hint="eastAsia"/>
                <w:kern w:val="0"/>
                <w:u w:color="000000"/>
              </w:rPr>
              <w:t>和</w:t>
            </w:r>
            <w:proofErr w:type="gramStart"/>
            <w:r>
              <w:rPr>
                <w:rFonts w:ascii="宋体" w:hAnsi="宋体" w:hint="eastAsia"/>
                <w:kern w:val="0"/>
                <w:u w:color="000000"/>
              </w:rPr>
              <w:t>危废</w:t>
            </w:r>
            <w:proofErr w:type="gramEnd"/>
            <w:r>
              <w:rPr>
                <w:rFonts w:ascii="宋体" w:hAnsi="宋体" w:hint="eastAsia"/>
                <w:kern w:val="0"/>
                <w:u w:color="000000"/>
              </w:rPr>
              <w:t>间距离不足；</w:t>
            </w:r>
          </w:p>
        </w:tc>
        <w:tc>
          <w:tcPr>
            <w:tcW w:w="4740" w:type="dxa"/>
            <w:vAlign w:val="center"/>
          </w:tcPr>
          <w:p w:rsidR="00F54609" w:rsidRDefault="00FB42E9">
            <w:pPr>
              <w:widowControl/>
              <w:tabs>
                <w:tab w:val="left" w:pos="6120"/>
              </w:tabs>
              <w:adjustRightInd w:val="0"/>
              <w:spacing w:beforeLines="10" w:before="31" w:afterLines="10" w:after="31" w:line="320" w:lineRule="exact"/>
              <w:jc w:val="center"/>
              <w:textAlignment w:val="baseline"/>
              <w:rPr>
                <w:rFonts w:ascii="宋体" w:hAnsi="宋体"/>
                <w:kern w:val="0"/>
                <w:u w:color="000000"/>
              </w:rPr>
            </w:pPr>
            <w:r>
              <w:rPr>
                <w:rFonts w:ascii="宋体" w:hAnsi="宋体" w:hint="eastAsia"/>
                <w:kern w:val="0"/>
                <w:u w:color="000000"/>
              </w:rPr>
              <w:t>停用或移除洗车机</w:t>
            </w:r>
            <w:r>
              <w:rPr>
                <w:rFonts w:ascii="宋体" w:hAnsi="宋体" w:hint="eastAsia"/>
                <w:kern w:val="0"/>
                <w:u w:color="000000"/>
              </w:rPr>
              <w:t>间</w:t>
            </w:r>
            <w:r>
              <w:rPr>
                <w:rFonts w:ascii="宋体" w:hAnsi="宋体" w:hint="eastAsia"/>
                <w:kern w:val="0"/>
                <w:u w:color="000000"/>
              </w:rPr>
              <w:t>和</w:t>
            </w:r>
            <w:proofErr w:type="gramStart"/>
            <w:r>
              <w:rPr>
                <w:rFonts w:ascii="宋体" w:hAnsi="宋体" w:hint="eastAsia"/>
                <w:kern w:val="0"/>
                <w:u w:color="000000"/>
              </w:rPr>
              <w:t>危废</w:t>
            </w:r>
            <w:proofErr w:type="gramEnd"/>
            <w:r>
              <w:rPr>
                <w:rFonts w:ascii="宋体" w:hAnsi="宋体" w:hint="eastAsia"/>
                <w:kern w:val="0"/>
                <w:u w:color="000000"/>
              </w:rPr>
              <w:t>间。</w:t>
            </w:r>
          </w:p>
        </w:tc>
      </w:tr>
    </w:tbl>
    <w:p w:rsidR="00F54609" w:rsidRDefault="00FB42E9">
      <w:pPr>
        <w:tabs>
          <w:tab w:val="left" w:pos="698"/>
        </w:tabs>
        <w:ind w:firstLineChars="200" w:firstLine="560"/>
        <w:jc w:val="left"/>
        <w:rPr>
          <w:kern w:val="0"/>
          <w:sz w:val="28"/>
          <w:szCs w:val="20"/>
        </w:rPr>
        <w:sectPr w:rsidR="00F54609">
          <w:pgSz w:w="11906" w:h="16838"/>
          <w:pgMar w:top="1417" w:right="1134" w:bottom="1134" w:left="1361" w:header="850" w:footer="340" w:gutter="0"/>
          <w:cols w:space="720"/>
          <w:docGrid w:type="lines" w:linePitch="312"/>
        </w:sectPr>
      </w:pPr>
      <w:r>
        <w:rPr>
          <w:rFonts w:ascii="宋体" w:hint="eastAsia"/>
          <w:kern w:val="0"/>
          <w:sz w:val="28"/>
          <w:szCs w:val="20"/>
        </w:rPr>
        <w:t>该加油站在安全管理、站址选择及总平面布置、加油工艺及设施、其它设施等方面符合有关法律、标准规范的要求。</w:t>
      </w:r>
    </w:p>
    <w:p w:rsidR="00F54609" w:rsidRDefault="00FB42E9">
      <w:pPr>
        <w:pStyle w:val="a4"/>
        <w:spacing w:line="240" w:lineRule="auto"/>
        <w:ind w:firstLineChars="0" w:firstLine="0"/>
        <w:rPr>
          <w:color w:val="auto"/>
          <w:sz w:val="28"/>
          <w:szCs w:val="20"/>
        </w:rPr>
      </w:pPr>
      <w:r>
        <w:rPr>
          <w:rFonts w:hint="eastAsia"/>
          <w:noProof/>
          <w:color w:val="auto"/>
          <w:sz w:val="28"/>
          <w:szCs w:val="20"/>
        </w:rPr>
        <w:lastRenderedPageBreak/>
        <w:drawing>
          <wp:inline distT="0" distB="0" distL="114300" distR="114300">
            <wp:extent cx="5754370" cy="8420735"/>
            <wp:effectExtent l="0" t="0" r="17780" b="18415"/>
            <wp:docPr id="12" name="图片 12" descr="f97d74d0dbc7c8f32ca63b47e488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97d74d0dbc7c8f32ca63b47e488a09"/>
                    <pic:cNvPicPr>
                      <a:picLocks noChangeAspect="1"/>
                    </pic:cNvPicPr>
                  </pic:nvPicPr>
                  <pic:blipFill>
                    <a:blip r:embed="rId8"/>
                    <a:stretch>
                      <a:fillRect/>
                    </a:stretch>
                  </pic:blipFill>
                  <pic:spPr>
                    <a:xfrm>
                      <a:off x="0" y="0"/>
                      <a:ext cx="5754370" cy="8420735"/>
                    </a:xfrm>
                    <a:prstGeom prst="rect">
                      <a:avLst/>
                    </a:prstGeom>
                  </pic:spPr>
                </pic:pic>
              </a:graphicData>
            </a:graphic>
          </wp:inline>
        </w:drawing>
      </w:r>
      <w:r>
        <w:rPr>
          <w:rFonts w:hint="eastAsia"/>
          <w:noProof/>
          <w:color w:val="auto"/>
          <w:sz w:val="28"/>
          <w:szCs w:val="20"/>
        </w:rPr>
        <w:lastRenderedPageBreak/>
        <w:drawing>
          <wp:inline distT="0" distB="0" distL="114300" distR="114300">
            <wp:extent cx="5749925" cy="8622665"/>
            <wp:effectExtent l="0" t="0" r="3175" b="6985"/>
            <wp:docPr id="13" name="图片 13" descr="e06bb9a816ea7a4b20b07eddb2d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06bb9a816ea7a4b20b07eddb2d3900"/>
                    <pic:cNvPicPr>
                      <a:picLocks noChangeAspect="1"/>
                    </pic:cNvPicPr>
                  </pic:nvPicPr>
                  <pic:blipFill>
                    <a:blip r:embed="rId9"/>
                    <a:stretch>
                      <a:fillRect/>
                    </a:stretch>
                  </pic:blipFill>
                  <pic:spPr>
                    <a:xfrm>
                      <a:off x="0" y="0"/>
                      <a:ext cx="5749925" cy="8622665"/>
                    </a:xfrm>
                    <a:prstGeom prst="rect">
                      <a:avLst/>
                    </a:prstGeom>
                  </pic:spPr>
                </pic:pic>
              </a:graphicData>
            </a:graphic>
          </wp:inline>
        </w:drawing>
      </w:r>
    </w:p>
    <w:sectPr w:rsidR="00F54609">
      <w:pgSz w:w="11906" w:h="16838"/>
      <w:pgMar w:top="1417" w:right="1417" w:bottom="1417" w:left="141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00B1CB3"/>
    <w:rsid w:val="00111901"/>
    <w:rsid w:val="005248C1"/>
    <w:rsid w:val="00616DBD"/>
    <w:rsid w:val="0086370E"/>
    <w:rsid w:val="00AD5E97"/>
    <w:rsid w:val="00B64575"/>
    <w:rsid w:val="00F54609"/>
    <w:rsid w:val="00FB42E9"/>
    <w:rsid w:val="03B21DD7"/>
    <w:rsid w:val="03CC63D7"/>
    <w:rsid w:val="09D5345C"/>
    <w:rsid w:val="0A27015B"/>
    <w:rsid w:val="0BD51C61"/>
    <w:rsid w:val="0EC853E9"/>
    <w:rsid w:val="0EDC1223"/>
    <w:rsid w:val="13C277AD"/>
    <w:rsid w:val="13D12EE6"/>
    <w:rsid w:val="153C4810"/>
    <w:rsid w:val="16BC1C2B"/>
    <w:rsid w:val="1E1E483E"/>
    <w:rsid w:val="22CB7136"/>
    <w:rsid w:val="284F788D"/>
    <w:rsid w:val="28E348A1"/>
    <w:rsid w:val="2A9D36CA"/>
    <w:rsid w:val="2EB02BD7"/>
    <w:rsid w:val="2EC41433"/>
    <w:rsid w:val="30E26E3C"/>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9D26E89"/>
    <w:rsid w:val="5A893A0E"/>
    <w:rsid w:val="5AB85F0C"/>
    <w:rsid w:val="5E953707"/>
    <w:rsid w:val="68772688"/>
    <w:rsid w:val="68F91E38"/>
    <w:rsid w:val="6AD40467"/>
    <w:rsid w:val="6BF95CAB"/>
    <w:rsid w:val="6D0669CA"/>
    <w:rsid w:val="717A11AE"/>
    <w:rsid w:val="72FD2CFB"/>
    <w:rsid w:val="73C95CFD"/>
    <w:rsid w:val="74004819"/>
    <w:rsid w:val="74F77EEF"/>
    <w:rsid w:val="7772596D"/>
    <w:rsid w:val="7AB02F22"/>
    <w:rsid w:val="7D3C3789"/>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EFBCF3D-B828-4DAC-B723-84BE8A7C7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caption" w:semiHidden="1" w:unhideWhenUsed="1" w:qFormat="1"/>
    <w:lsdException w:name="Title" w:qFormat="1"/>
    <w:lsdException w:name="Default Paragraph Font" w:semiHidden="1" w:uiPriority="1" w:unhideWhenUsed="1"/>
    <w:lsdException w:name="Body Text" w:uiPriority="99" w:qFormat="1"/>
    <w:lsdException w:name="Body Text Indent" w:qFormat="1"/>
    <w:lsdException w:name="Subtitle" w:qFormat="1"/>
    <w:lsdException w:name="Body Text First Indent" w:qFormat="1"/>
    <w:lsdException w:name="Body Text First Indent 2" w:qFormat="1"/>
    <w:lsdException w:name="Strong" w:qFormat="1"/>
    <w:lsdException w:name="Emphasis" w:qFormat="1"/>
    <w:lsdException w:name="Plain Text" w:uiPriority="99" w:unhideWhenUsed="1"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420"/>
    </w:pPr>
  </w:style>
  <w:style w:type="paragraph" w:styleId="a4">
    <w:name w:val="Body Text"/>
    <w:basedOn w:val="a"/>
    <w:uiPriority w:val="99"/>
    <w:qFormat/>
    <w:pPr>
      <w:widowControl/>
      <w:spacing w:line="520" w:lineRule="exact"/>
      <w:ind w:firstLineChars="200" w:firstLine="200"/>
      <w:textAlignment w:val="baseline"/>
    </w:pPr>
    <w:rPr>
      <w:rFonts w:ascii="宋体" w:hAnsi="宋体"/>
      <w:color w:val="000000"/>
      <w:spacing w:val="10"/>
      <w:kern w:val="0"/>
      <w:sz w:val="24"/>
      <w:u w:color="000000"/>
    </w:rPr>
  </w:style>
  <w:style w:type="paragraph" w:styleId="a5">
    <w:name w:val="Body Text Indent"/>
    <w:basedOn w:val="a"/>
    <w:qFormat/>
    <w:pPr>
      <w:spacing w:after="120"/>
      <w:ind w:leftChars="200" w:left="420"/>
    </w:pPr>
  </w:style>
  <w:style w:type="paragraph" w:styleId="a6">
    <w:name w:val="Plain Text"/>
    <w:basedOn w:val="a"/>
    <w:uiPriority w:val="99"/>
    <w:unhideWhenUsed/>
    <w:qFormat/>
    <w:rPr>
      <w:rFonts w:ascii="宋体" w:hAnsi="Courier New"/>
      <w:kern w:val="0"/>
      <w:sz w:val="20"/>
      <w:szCs w:val="20"/>
    </w:rPr>
  </w:style>
  <w:style w:type="paragraph" w:styleId="a7">
    <w:name w:val="Body Text First Indent"/>
    <w:basedOn w:val="a4"/>
    <w:next w:val="a"/>
    <w:qFormat/>
    <w:pPr>
      <w:ind w:firstLineChars="100" w:firstLine="420"/>
    </w:pPr>
    <w:rPr>
      <w:b/>
      <w:u w:val="single"/>
    </w:rPr>
  </w:style>
  <w:style w:type="paragraph" w:styleId="2">
    <w:name w:val="Body Text First Indent 2"/>
    <w:basedOn w:val="a5"/>
    <w:next w:val="a"/>
    <w:qFormat/>
    <w:pPr>
      <w:tabs>
        <w:tab w:val="left" w:pos="6120"/>
      </w:tabs>
      <w:spacing w:line="520" w:lineRule="exact"/>
      <w:ind w:leftChars="0" w:left="0"/>
    </w:pPr>
    <w:rPr>
      <w:rFonts w:ascii="黑体" w:eastAsia="黑体" w:hAnsi="黑体" w:cs="宋体"/>
      <w:sz w:val="28"/>
    </w:rPr>
  </w:style>
  <w:style w:type="paragraph" w:customStyle="1" w:styleId="111">
    <w:name w:val="111"/>
    <w:basedOn w:val="a8"/>
    <w:qFormat/>
    <w:pPr>
      <w:widowControl/>
      <w:jc w:val="left"/>
    </w:pPr>
    <w:rPr>
      <w:rFonts w:ascii="宋体" w:eastAsia="宋体" w:hAnsi="宋体" w:cs="宋体"/>
      <w:kern w:val="0"/>
      <w:sz w:val="24"/>
      <w:szCs w:val="24"/>
    </w:rPr>
  </w:style>
  <w:style w:type="paragraph" w:customStyle="1" w:styleId="a8">
    <w:name w:val="题目"/>
    <w:basedOn w:val="a"/>
    <w:qFormat/>
    <w:pPr>
      <w:jc w:val="center"/>
      <w:outlineLvl w:val="0"/>
    </w:pPr>
    <w:rPr>
      <w:rFonts w:ascii="黑体" w:eastAsia="黑体" w:hAnsi="黑体"/>
      <w:sz w:val="32"/>
      <w:szCs w:val="32"/>
    </w:rPr>
  </w:style>
  <w:style w:type="paragraph" w:customStyle="1" w:styleId="TableText">
    <w:name w:val="Table Text"/>
    <w:basedOn w:val="a"/>
    <w:semiHidden/>
    <w:qFormat/>
    <w:rPr>
      <w:rFonts w:ascii="宋体" w:eastAsia="宋体" w:hAnsi="宋体" w:cs="宋体"/>
      <w:sz w:val="20"/>
      <w:szCs w:val="20"/>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qFormat/>
    <w:pPr>
      <w:spacing w:line="520" w:lineRule="exact"/>
      <w:ind w:firstLineChars="200" w:firstLine="200"/>
      <w:outlineLvl w:val="2"/>
    </w:pPr>
    <w:rPr>
      <w:rFonts w:ascii="Times New Roman" w:eastAsia="黑体" w:hAnsi="Times New Roman" w:cs="Times New Roman"/>
      <w:sz w:val="28"/>
      <w:u w:color="000000"/>
    </w:rPr>
  </w:style>
  <w:style w:type="paragraph" w:customStyle="1" w:styleId="a9">
    <w:name w:val="表内文字"/>
    <w:basedOn w:val="a6"/>
    <w:qFormat/>
    <w:pPr>
      <w:spacing w:line="320" w:lineRule="exact"/>
      <w:jc w:val="center"/>
    </w:pPr>
    <w:rPr>
      <w:rFonts w:ascii="Times New Roman" w:hAnsi="Times New Roman"/>
      <w:kern w:val="2"/>
      <w:sz w:val="21"/>
      <w:szCs w:val="21"/>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525</Words>
  <Characters>2994</Characters>
  <Application>Microsoft Office Word</Application>
  <DocSecurity>0</DocSecurity>
  <Lines>24</Lines>
  <Paragraphs>7</Paragraphs>
  <ScaleCrop>false</ScaleCrop>
  <Company>微软中国</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天舞</dc:creator>
  <cp:lastModifiedBy>微软用户</cp:lastModifiedBy>
  <cp:revision>9</cp:revision>
  <dcterms:created xsi:type="dcterms:W3CDTF">2023-09-27T02:48:00Z</dcterms:created>
  <dcterms:modified xsi:type="dcterms:W3CDTF">2025-05-16T02:47:00Z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53A0FC5D44F14A5D81B24604CB938924_13</vt:lpwstr>
  </property>
  <property fmtid="{D5CDD505-2E9C-101B-9397-08002B2CF9AE}" pid="4" name="KSOTemplateDocerSaveRecord">
    <vt:lpwstr>eyJoZGlkIjoiZGJkYmQ2ZmQwOWU5Yjc3NTg5YTE4NDVlYjAzYWVlNTciLCJ1c2VySWQiOiIyMzcyMjk0MzYifQ==</vt:lpwstr>
  </property>
</Properties>
</file>