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w:t>
            </w:r>
            <w:r>
              <w:rPr>
                <w:rFonts w:hint="eastAsia"/>
                <w:color w:val="000000"/>
                <w:szCs w:val="21"/>
                <w:lang w:val="en-US" w:eastAsia="zh-CN"/>
              </w:rPr>
              <w:t>司宁阳第十八</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31601093">
            <w:pPr>
              <w:pStyle w:val="24"/>
              <w:adjustRightInd w:val="0"/>
              <w:snapToGrid w:val="0"/>
              <w:rPr>
                <w:rFonts w:hint="eastAsia"/>
                <w:color w:val="auto"/>
                <w:highlight w:val="none"/>
                <w:lang w:eastAsia="zh-CN"/>
              </w:rPr>
            </w:pPr>
            <w:r>
              <w:rPr>
                <w:rFonts w:hint="eastAsia"/>
                <w:color w:val="auto"/>
                <w:lang w:val="en-US" w:eastAsia="zh-CN"/>
              </w:rPr>
              <w:t>该加油站现有埋地双层储罐3台，</w:t>
            </w:r>
            <w:r>
              <w:rPr>
                <w:color w:val="auto"/>
                <w:highlight w:val="none"/>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乙醇汽油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w:t>
            </w:r>
            <w:r>
              <w:rPr>
                <w:rFonts w:hint="eastAsia"/>
                <w:color w:val="auto"/>
                <w:highlight w:val="none"/>
                <w:lang w:eastAsia="zh-CN"/>
              </w:rPr>
              <w:t>汽油</w:t>
            </w:r>
            <w:r>
              <w:rPr>
                <w:rFonts w:hint="eastAsia"/>
                <w:color w:val="auto"/>
                <w:highlight w:val="none"/>
                <w:lang w:val="en-US" w:eastAsia="zh-CN"/>
              </w:rPr>
              <w:t>罐</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eastAsia="zh-CN"/>
              </w:rPr>
              <w:t>，</w:t>
            </w:r>
            <w:r>
              <w:rPr>
                <w:rFonts w:hint="eastAsia"/>
                <w:color w:val="auto"/>
                <w:highlight w:val="none"/>
                <w:lang w:val="en-US" w:eastAsia="zh-CN"/>
              </w:rPr>
              <w:t>1台油气回收处理设备。</w:t>
            </w:r>
          </w:p>
          <w:p w14:paraId="7B0C04BE">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color w:val="auto"/>
                <w:highlight w:val="none"/>
              </w:rPr>
              <w:t>设置罩棚一处，</w:t>
            </w:r>
            <w:r>
              <w:rPr>
                <w:rFonts w:hint="eastAsia"/>
                <w:color w:val="auto"/>
                <w:highlight w:val="none"/>
              </w:rPr>
              <w:t>罩棚下设置</w:t>
            </w:r>
            <w:r>
              <w:rPr>
                <w:rFonts w:hint="eastAsia"/>
                <w:color w:val="auto"/>
                <w:highlight w:val="none"/>
                <w:lang w:val="en-US" w:eastAsia="zh-CN"/>
              </w:rPr>
              <w:t>1</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w:t>
            </w:r>
            <w:r>
              <w:rPr>
                <w:rFonts w:hint="eastAsia" w:ascii="宋体" w:hAnsi="宋体" w:cs="宋体"/>
                <w:bCs/>
                <w:color w:val="auto"/>
                <w:highlight w:val="none"/>
                <w:lang w:eastAsia="zh-CN"/>
              </w:rPr>
              <w:t>）、</w:t>
            </w:r>
            <w:r>
              <w:rPr>
                <w:rFonts w:hint="eastAsia"/>
                <w:color w:val="auto"/>
                <w:highlight w:val="none"/>
                <w:lang w:val="en-US" w:eastAsia="zh-CN"/>
              </w:rPr>
              <w:t>3</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加油机（1台92#乙醇汽油，1台95#汽油，1台柴油</w:t>
            </w:r>
            <w:r>
              <w:rPr>
                <w:rFonts w:hint="eastAsia" w:ascii="宋体" w:hAnsi="宋体" w:cs="宋体"/>
                <w:bCs/>
                <w:color w:val="auto"/>
                <w:highlight w:val="none"/>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2025.3.26</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安全评价报告提交时间：2025.4.2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6DCED17">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102634395"/>
      <w:bookmarkStart w:id="1" w:name="_Toc102633895"/>
      <w:bookmarkStart w:id="2" w:name="_Toc15033742"/>
      <w:bookmarkStart w:id="3" w:name="_Toc102634226"/>
      <w:bookmarkStart w:id="4" w:name="_Toc102633969"/>
      <w:bookmarkStart w:id="5" w:name="_Toc8295"/>
      <w:bookmarkStart w:id="6" w:name="_Toc102633980"/>
      <w:bookmarkStart w:id="7" w:name="_Toc1454"/>
      <w:bookmarkStart w:id="8" w:name="_Toc102633906"/>
      <w:bookmarkStart w:id="9" w:name="_Toc102634255"/>
      <w:bookmarkStart w:id="10" w:name="_Toc102634406"/>
      <w:r>
        <w:rPr>
          <w:rFonts w:hint="eastAsia"/>
          <w:color w:val="auto"/>
          <w:highlight w:val="none"/>
        </w:rPr>
        <w:t>第二章 加油站概况</w:t>
      </w:r>
      <w:bookmarkEnd w:id="0"/>
      <w:bookmarkEnd w:id="1"/>
      <w:bookmarkEnd w:id="2"/>
      <w:bookmarkEnd w:id="3"/>
      <w:bookmarkEnd w:id="4"/>
      <w:bookmarkEnd w:id="5"/>
    </w:p>
    <w:p w14:paraId="1AE34E0E">
      <w:pPr>
        <w:pStyle w:val="3"/>
        <w:spacing w:before="312" w:beforeLines="100" w:after="312" w:afterLines="100" w:line="360" w:lineRule="auto"/>
        <w:ind w:firstLine="0"/>
        <w:rPr>
          <w:rFonts w:hint="eastAsia"/>
          <w:color w:val="auto"/>
          <w:highlight w:val="none"/>
        </w:rPr>
      </w:pPr>
      <w:bookmarkStart w:id="11" w:name="_Toc13779"/>
      <w:bookmarkStart w:id="12" w:name="_Toc26504"/>
      <w:bookmarkStart w:id="13" w:name="_Toc102633970"/>
      <w:bookmarkStart w:id="14" w:name="_Toc102634396"/>
      <w:bookmarkStart w:id="15" w:name="_Toc102634227"/>
      <w:bookmarkStart w:id="16" w:name="_Toc272364524"/>
      <w:bookmarkStart w:id="17" w:name="_Toc15033743"/>
      <w:bookmarkStart w:id="18" w:name="_Toc208733856"/>
      <w:bookmarkStart w:id="19" w:name="_Toc30066"/>
      <w:bookmarkStart w:id="20" w:name="_Toc102633896"/>
      <w:r>
        <w:rPr>
          <w:rFonts w:hint="eastAsia"/>
          <w:color w:val="auto"/>
          <w:highlight w:val="none"/>
        </w:rPr>
        <w:t>第一节 加油站基本情况</w:t>
      </w:r>
      <w:bookmarkEnd w:id="11"/>
      <w:bookmarkEnd w:id="12"/>
      <w:bookmarkEnd w:id="13"/>
      <w:bookmarkEnd w:id="14"/>
      <w:bookmarkEnd w:id="15"/>
      <w:bookmarkEnd w:id="16"/>
      <w:bookmarkEnd w:id="17"/>
      <w:bookmarkEnd w:id="18"/>
      <w:bookmarkEnd w:id="19"/>
      <w:bookmarkEnd w:id="20"/>
    </w:p>
    <w:p w14:paraId="304874CE">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中国石化山东泰山石油股份有限公司</w:t>
      </w:r>
      <w:r>
        <w:rPr>
          <w:rFonts w:hint="eastAsia" w:ascii="宋体" w:hAnsi="宋体" w:cs="宋体"/>
          <w:color w:val="auto"/>
          <w:sz w:val="28"/>
          <w:szCs w:val="28"/>
          <w:highlight w:val="none"/>
          <w:lang w:eastAsia="zh-CN"/>
        </w:rPr>
        <w:t>宁阳第十八加油站</w:t>
      </w:r>
      <w:r>
        <w:rPr>
          <w:rFonts w:hint="eastAsia" w:ascii="宋体" w:hAnsi="宋体" w:eastAsia="宋体" w:cs="宋体"/>
          <w:color w:val="auto"/>
          <w:sz w:val="28"/>
          <w:szCs w:val="28"/>
          <w:highlight w:val="none"/>
        </w:rPr>
        <w:t>位于</w:t>
      </w:r>
      <w:r>
        <w:rPr>
          <w:rFonts w:hint="eastAsia" w:ascii="宋体" w:hAnsi="宋体"/>
          <w:color w:val="auto"/>
          <w:sz w:val="28"/>
          <w:highlight w:val="none"/>
          <w:lang w:eastAsia="zh-CN"/>
        </w:rPr>
        <w:t>宁阳县城西邢家庄村蒙馆路128公里+800米处路北</w:t>
      </w:r>
      <w:r>
        <w:rPr>
          <w:rFonts w:hint="eastAsia" w:ascii="宋体" w:hAnsi="宋体" w:eastAsia="宋体" w:cs="宋体"/>
          <w:color w:val="auto"/>
          <w:sz w:val="28"/>
          <w:szCs w:val="28"/>
          <w:highlight w:val="none"/>
        </w:rPr>
        <w:t>，</w:t>
      </w:r>
      <w:r>
        <w:rPr>
          <w:rFonts w:hint="eastAsia" w:ascii="宋体" w:hAnsi="宋体"/>
          <w:color w:val="auto"/>
          <w:sz w:val="28"/>
          <w:szCs w:val="28"/>
          <w:highlight w:val="none"/>
          <w:lang w:eastAsia="zh-CN"/>
        </w:rPr>
        <w:t>加油站</w:t>
      </w:r>
      <w:r>
        <w:rPr>
          <w:rFonts w:hint="eastAsia" w:ascii="宋体" w:hAnsi="宋体"/>
          <w:color w:val="auto"/>
          <w:sz w:val="28"/>
          <w:szCs w:val="28"/>
          <w:highlight w:val="none"/>
          <w:lang w:val="en-US" w:eastAsia="zh-CN"/>
        </w:rPr>
        <w:t>北侧是</w:t>
      </w:r>
      <w:r>
        <w:rPr>
          <w:rFonts w:hint="eastAsia" w:ascii="宋体" w:hAnsi="宋体"/>
          <w:color w:val="auto"/>
          <w:sz w:val="28"/>
          <w:highlight w:val="none"/>
          <w:lang w:val="en-US" w:eastAsia="zh-CN"/>
        </w:rPr>
        <w:t>废品收购站</w:t>
      </w:r>
      <w:r>
        <w:rPr>
          <w:rFonts w:hint="eastAsia" w:ascii="宋体" w:hAnsi="宋体"/>
          <w:color w:val="auto"/>
          <w:sz w:val="28"/>
          <w:szCs w:val="28"/>
          <w:highlight w:val="none"/>
          <w:lang w:val="en-US" w:eastAsia="zh-CN"/>
        </w:rPr>
        <w:t>，西侧是空地，南侧是宁阳大道（原</w:t>
      </w:r>
      <w:r>
        <w:rPr>
          <w:rFonts w:hint="eastAsia" w:ascii="宋体" w:hAnsi="宋体"/>
          <w:color w:val="auto"/>
          <w:sz w:val="28"/>
          <w:highlight w:val="none"/>
          <w:lang w:val="en-US" w:eastAsia="zh-CN"/>
        </w:rPr>
        <w:t>蒙馆路</w:t>
      </w:r>
      <w:r>
        <w:rPr>
          <w:rFonts w:hint="eastAsia" w:ascii="宋体" w:hAnsi="宋体"/>
          <w:color w:val="auto"/>
          <w:sz w:val="28"/>
          <w:szCs w:val="28"/>
          <w:highlight w:val="none"/>
          <w:lang w:val="en-US" w:eastAsia="zh-CN"/>
        </w:rPr>
        <w:t>）</w:t>
      </w:r>
      <w:r>
        <w:rPr>
          <w:rFonts w:hint="eastAsia" w:ascii="宋体" w:hAnsi="宋体"/>
          <w:color w:val="auto"/>
          <w:sz w:val="28"/>
          <w:highlight w:val="none"/>
          <w:lang w:val="en-US" w:eastAsia="zh-CN"/>
        </w:rPr>
        <w:t>、架空通信线</w:t>
      </w:r>
      <w:r>
        <w:rPr>
          <w:rFonts w:hint="eastAsia" w:ascii="宋体" w:hAnsi="宋体"/>
          <w:color w:val="auto"/>
          <w:sz w:val="28"/>
          <w:szCs w:val="28"/>
          <w:highlight w:val="none"/>
          <w:lang w:val="en-US" w:eastAsia="zh-CN"/>
        </w:rPr>
        <w:t>，东</w:t>
      </w:r>
      <w:r>
        <w:rPr>
          <w:rFonts w:hint="eastAsia" w:ascii="宋体" w:hAnsi="宋体"/>
          <w:color w:val="auto"/>
          <w:sz w:val="28"/>
          <w:szCs w:val="28"/>
          <w:highlight w:val="none"/>
          <w:lang w:eastAsia="zh-CN"/>
        </w:rPr>
        <w:t>侧是</w:t>
      </w:r>
      <w:r>
        <w:rPr>
          <w:rFonts w:hint="eastAsia" w:ascii="宋体" w:hAnsi="宋体"/>
          <w:color w:val="auto"/>
          <w:sz w:val="28"/>
          <w:szCs w:val="28"/>
          <w:highlight w:val="none"/>
          <w:lang w:val="en-US" w:eastAsia="zh-CN"/>
        </w:rPr>
        <w:t>驾校。</w:t>
      </w:r>
      <w:r>
        <w:rPr>
          <w:rFonts w:hint="eastAsia" w:ascii="宋体" w:hAnsi="宋体" w:eastAsia="宋体" w:cs="宋体"/>
          <w:color w:val="auto"/>
          <w:sz w:val="28"/>
          <w:highlight w:val="none"/>
        </w:rPr>
        <w:t>该站经营许可范围为</w:t>
      </w:r>
      <w:r>
        <w:rPr>
          <w:rFonts w:hint="eastAsia" w:ascii="宋体" w:hAnsi="宋体" w:eastAsia="宋体" w:cs="宋体"/>
          <w:color w:val="auto"/>
          <w:sz w:val="28"/>
          <w:szCs w:val="28"/>
          <w:highlight w:val="none"/>
          <w:lang w:eastAsia="zh-CN"/>
        </w:rPr>
        <w:t>汽油、乙醇汽油</w:t>
      </w:r>
      <w:r>
        <w:rPr>
          <w:rFonts w:hint="eastAsia" w:ascii="宋体" w:hAnsi="宋体" w:eastAsia="宋体" w:cs="宋体"/>
          <w:color w:val="auto"/>
          <w:sz w:val="28"/>
          <w:highlight w:val="none"/>
        </w:rPr>
        <w:t>、柴油，现其主要经营储存</w:t>
      </w:r>
      <w:r>
        <w:rPr>
          <w:rFonts w:hint="eastAsia" w:ascii="宋体" w:hAnsi="宋体" w:eastAsia="宋体" w:cs="宋体"/>
          <w:color w:val="auto"/>
          <w:sz w:val="28"/>
          <w:highlight w:val="none"/>
          <w:lang w:eastAsia="zh-CN"/>
        </w:rPr>
        <w:t>汽油、乙醇汽油</w:t>
      </w:r>
      <w:r>
        <w:rPr>
          <w:rFonts w:hint="eastAsia" w:ascii="宋体" w:hAnsi="宋体" w:eastAsia="宋体" w:cs="宋体"/>
          <w:color w:val="auto"/>
          <w:sz w:val="28"/>
          <w:highlight w:val="none"/>
        </w:rPr>
        <w:t>、0#柴油（换季销售-10#柴油）</w:t>
      </w:r>
      <w:r>
        <w:rPr>
          <w:rFonts w:hint="eastAsia" w:ascii="宋体" w:hAnsi="宋体" w:eastAsia="宋体" w:cs="宋体"/>
          <w:snapToGrid w:val="0"/>
          <w:color w:val="auto"/>
          <w:kern w:val="0"/>
          <w:sz w:val="28"/>
          <w:highlight w:val="none"/>
        </w:rPr>
        <w:t>。</w:t>
      </w:r>
      <w:r>
        <w:rPr>
          <w:rFonts w:hint="eastAsia" w:ascii="宋体" w:hAnsi="宋体" w:eastAsia="宋体" w:cs="宋体"/>
          <w:color w:val="auto"/>
          <w:sz w:val="28"/>
          <w:highlight w:val="none"/>
        </w:rPr>
        <w:t>此次现状评价报告与三年前报告相比，</w:t>
      </w:r>
      <w:r>
        <w:rPr>
          <w:rFonts w:hint="eastAsia" w:ascii="宋体" w:hAnsi="宋体" w:cs="宋体"/>
          <w:color w:val="auto"/>
          <w:sz w:val="28"/>
          <w:highlight w:val="none"/>
          <w:lang w:val="en-US" w:eastAsia="zh-CN"/>
        </w:rPr>
        <w:t>新增</w:t>
      </w:r>
      <w:r>
        <w:rPr>
          <w:rFonts w:hint="eastAsia" w:ascii="宋体" w:hAnsi="宋体" w:eastAsia="宋体" w:cs="宋体"/>
          <w:color w:val="auto"/>
          <w:sz w:val="28"/>
          <w:highlight w:val="none"/>
          <w:lang w:val="en-US" w:eastAsia="zh-CN"/>
        </w:rPr>
        <w:t>可燃气体探测器2套、箱式变压器1台、双枪直流充电桩3台。</w:t>
      </w:r>
      <w:r>
        <w:rPr>
          <w:rFonts w:hint="eastAsia" w:ascii="宋体" w:hAnsi="宋体"/>
          <w:color w:val="auto"/>
          <w:sz w:val="28"/>
          <w:szCs w:val="28"/>
          <w:highlight w:val="none"/>
          <w:lang w:val="en-US" w:eastAsia="zh-CN"/>
        </w:rPr>
        <w:t>其余</w:t>
      </w:r>
      <w:r>
        <w:rPr>
          <w:rFonts w:hint="eastAsia" w:ascii="宋体" w:hAnsi="宋体" w:eastAsia="宋体" w:cs="宋体"/>
          <w:color w:val="auto"/>
          <w:sz w:val="28"/>
          <w:highlight w:val="none"/>
        </w:rPr>
        <w:t>周边环境、站内设备设施、主要建构</w:t>
      </w:r>
      <w:r>
        <w:rPr>
          <w:rFonts w:hint="eastAsia" w:ascii="宋体" w:hAnsi="宋体" w:eastAsia="宋体" w:cs="宋体"/>
          <w:color w:val="auto"/>
          <w:sz w:val="28"/>
          <w:szCs w:val="28"/>
          <w:highlight w:val="none"/>
        </w:rPr>
        <w:t>筑物未发生变化。</w:t>
      </w:r>
    </w:p>
    <w:p w14:paraId="4122EF78">
      <w:pPr>
        <w:pStyle w:val="17"/>
        <w:widowControl w:val="0"/>
        <w:adjustRightInd w:val="0"/>
        <w:snapToGrid w:val="0"/>
        <w:spacing w:line="360" w:lineRule="auto"/>
        <w:ind w:firstLine="560"/>
        <w:rPr>
          <w:rFonts w:hint="eastAsia" w:ascii="宋体" w:hAnsi="宋体" w:eastAsia="宋体" w:cs="宋体"/>
          <w:color w:val="auto"/>
          <w:kern w:val="2"/>
          <w:sz w:val="28"/>
          <w:szCs w:val="21"/>
          <w:highlight w:val="none"/>
          <w:lang w:val="en-US" w:eastAsia="zh-CN" w:bidi="ar-SA"/>
        </w:rPr>
      </w:pPr>
      <w:r>
        <w:rPr>
          <w:rFonts w:hint="eastAsia" w:ascii="宋体" w:hAnsi="宋体" w:eastAsia="宋体" w:cs="宋体"/>
          <w:color w:val="auto"/>
          <w:kern w:val="2"/>
          <w:sz w:val="28"/>
          <w:szCs w:val="21"/>
          <w:highlight w:val="none"/>
          <w:lang w:val="en-US" w:eastAsia="zh-CN" w:bidi="ar-SA"/>
        </w:rPr>
        <w:t>该加油站主要建有站房、罩棚、油罐区、加油区</w:t>
      </w:r>
      <w:r>
        <w:rPr>
          <w:rFonts w:hint="eastAsia" w:ascii="宋体" w:hAnsi="宋体" w:cs="宋体"/>
          <w:color w:val="auto"/>
          <w:kern w:val="2"/>
          <w:sz w:val="28"/>
          <w:szCs w:val="21"/>
          <w:highlight w:val="none"/>
          <w:lang w:val="en-US" w:eastAsia="zh-CN" w:bidi="ar-SA"/>
        </w:rPr>
        <w:t>、充电区</w:t>
      </w:r>
      <w:r>
        <w:rPr>
          <w:rFonts w:hint="eastAsia" w:ascii="宋体" w:hAnsi="宋体" w:eastAsia="宋体" w:cs="宋体"/>
          <w:color w:val="auto"/>
          <w:kern w:val="2"/>
          <w:sz w:val="28"/>
          <w:szCs w:val="21"/>
          <w:highlight w:val="none"/>
          <w:lang w:val="en-US" w:eastAsia="zh-CN" w:bidi="ar-SA"/>
        </w:rPr>
        <w:t>等。加油区在</w:t>
      </w:r>
      <w:r>
        <w:rPr>
          <w:rFonts w:hint="eastAsia" w:ascii="宋体" w:hAnsi="宋体" w:cs="宋体"/>
          <w:color w:val="auto"/>
          <w:kern w:val="2"/>
          <w:sz w:val="28"/>
          <w:szCs w:val="21"/>
          <w:highlight w:val="none"/>
          <w:lang w:val="en-US" w:eastAsia="zh-CN" w:bidi="ar-SA"/>
        </w:rPr>
        <w:t>站房南</w:t>
      </w:r>
      <w:r>
        <w:rPr>
          <w:rFonts w:hint="eastAsia" w:ascii="宋体" w:hAnsi="宋体" w:eastAsia="宋体" w:cs="宋体"/>
          <w:color w:val="auto"/>
          <w:kern w:val="2"/>
          <w:sz w:val="28"/>
          <w:szCs w:val="21"/>
          <w:highlight w:val="none"/>
          <w:lang w:val="en-US" w:eastAsia="zh-CN" w:bidi="ar-SA"/>
        </w:rPr>
        <w:t>侧，现有</w:t>
      </w:r>
      <w:r>
        <w:rPr>
          <w:rFonts w:hint="eastAsia"/>
          <w:color w:val="auto"/>
          <w:highlight w:val="none"/>
          <w:lang w:val="en-US" w:eastAsia="zh-CN"/>
        </w:rPr>
        <w:t>1</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w:t>
      </w:r>
      <w:r>
        <w:rPr>
          <w:rFonts w:hint="eastAsia" w:ascii="宋体" w:hAnsi="宋体" w:cs="宋体"/>
          <w:bCs/>
          <w:color w:val="auto"/>
          <w:highlight w:val="none"/>
          <w:lang w:eastAsia="zh-CN"/>
        </w:rPr>
        <w:t>）、</w:t>
      </w:r>
      <w:r>
        <w:rPr>
          <w:rFonts w:hint="eastAsia"/>
          <w:color w:val="auto"/>
          <w:highlight w:val="none"/>
          <w:lang w:val="en-US" w:eastAsia="zh-CN"/>
        </w:rPr>
        <w:t>3</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加油机（1台92#乙醇汽油，1台95#汽油，1台柴油</w:t>
      </w:r>
      <w:r>
        <w:rPr>
          <w:rFonts w:hint="eastAsia" w:ascii="宋体" w:hAnsi="宋体" w:cs="宋体"/>
          <w:bCs/>
          <w:color w:val="auto"/>
          <w:highlight w:val="none"/>
          <w:lang w:eastAsia="zh-CN"/>
        </w:rPr>
        <w:t>）</w:t>
      </w:r>
      <w:r>
        <w:rPr>
          <w:rFonts w:hint="eastAsia" w:ascii="宋体" w:hAnsi="宋体" w:eastAsia="宋体" w:cs="宋体"/>
          <w:color w:val="auto"/>
          <w:kern w:val="2"/>
          <w:sz w:val="28"/>
          <w:szCs w:val="21"/>
          <w:highlight w:val="none"/>
          <w:lang w:val="en-US" w:eastAsia="zh-CN" w:bidi="ar-SA"/>
        </w:rPr>
        <w:t>，均为自吸式；油罐区位于</w:t>
      </w:r>
      <w:r>
        <w:rPr>
          <w:rFonts w:hint="eastAsia" w:ascii="宋体" w:hAnsi="宋体" w:cs="宋体"/>
          <w:color w:val="auto"/>
          <w:kern w:val="2"/>
          <w:sz w:val="28"/>
          <w:szCs w:val="21"/>
          <w:highlight w:val="none"/>
          <w:lang w:val="en-US" w:eastAsia="zh-CN" w:bidi="ar-SA"/>
        </w:rPr>
        <w:t>站房北</w:t>
      </w:r>
      <w:r>
        <w:rPr>
          <w:rFonts w:hint="eastAsia" w:ascii="宋体" w:hAnsi="宋体" w:eastAsia="宋体" w:cs="宋体"/>
          <w:color w:val="auto"/>
          <w:kern w:val="2"/>
          <w:sz w:val="28"/>
          <w:szCs w:val="21"/>
          <w:highlight w:val="none"/>
          <w:lang w:val="en-US" w:eastAsia="zh-CN" w:bidi="ar-SA"/>
        </w:rPr>
        <w:t>侧，现有</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台</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0m³埋地双层储罐</w:t>
      </w:r>
      <w:r>
        <w:rPr>
          <w:rFonts w:hint="eastAsia" w:ascii="宋体" w:hAnsi="宋体" w:cs="宋体"/>
          <w:color w:val="auto"/>
          <w:kern w:val="2"/>
          <w:sz w:val="28"/>
          <w:szCs w:val="21"/>
          <w:highlight w:val="none"/>
          <w:lang w:val="en-US" w:eastAsia="zh-CN" w:bidi="ar-SA"/>
        </w:rPr>
        <w:t>：</w:t>
      </w:r>
      <w:r>
        <w:rPr>
          <w:rFonts w:hint="eastAsia" w:ascii="宋体" w:hAnsi="宋体" w:eastAsia="宋体" w:cs="宋体"/>
          <w:color w:val="auto"/>
          <w:kern w:val="2"/>
          <w:sz w:val="28"/>
          <w:szCs w:val="21"/>
          <w:highlight w:val="none"/>
          <w:lang w:val="en-US" w:eastAsia="zh-CN" w:bidi="ar-SA"/>
        </w:rPr>
        <w:t>1台92#乙醇汽油罐、1台95#汽油罐</w:t>
      </w:r>
      <w:r>
        <w:rPr>
          <w:rFonts w:hint="eastAsia" w:ascii="宋体" w:hAnsi="宋体" w:cs="宋体"/>
          <w:color w:val="auto"/>
          <w:kern w:val="2"/>
          <w:sz w:val="28"/>
          <w:szCs w:val="21"/>
          <w:highlight w:val="none"/>
          <w:lang w:val="en-US" w:eastAsia="zh-CN" w:bidi="ar-SA"/>
        </w:rPr>
        <w:t>、1</w:t>
      </w:r>
      <w:r>
        <w:rPr>
          <w:rFonts w:hint="eastAsia" w:ascii="宋体" w:hAnsi="宋体" w:eastAsia="宋体" w:cs="宋体"/>
          <w:color w:val="auto"/>
          <w:kern w:val="2"/>
          <w:sz w:val="28"/>
          <w:szCs w:val="21"/>
          <w:highlight w:val="none"/>
          <w:lang w:val="en-US" w:eastAsia="zh-CN" w:bidi="ar-SA"/>
        </w:rPr>
        <w:t>台柴油罐，</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台油罐均安装了液位仪、检漏仪；汽油、柴油卸油口位于罐区</w:t>
      </w:r>
      <w:r>
        <w:rPr>
          <w:rFonts w:hint="eastAsia" w:ascii="宋体" w:hAnsi="宋体" w:cs="宋体"/>
          <w:color w:val="auto"/>
          <w:kern w:val="2"/>
          <w:sz w:val="28"/>
          <w:szCs w:val="21"/>
          <w:highlight w:val="none"/>
          <w:lang w:val="en-US" w:eastAsia="zh-CN" w:bidi="ar-SA"/>
        </w:rPr>
        <w:t>东</w:t>
      </w:r>
      <w:r>
        <w:rPr>
          <w:rFonts w:hint="eastAsia" w:ascii="宋体" w:hAnsi="宋体" w:eastAsia="宋体" w:cs="宋体"/>
          <w:color w:val="auto"/>
          <w:kern w:val="2"/>
          <w:sz w:val="28"/>
          <w:szCs w:val="21"/>
          <w:highlight w:val="none"/>
          <w:lang w:val="en-US" w:eastAsia="zh-CN" w:bidi="ar-SA"/>
        </w:rPr>
        <w:t>侧；通气管</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根位于罐区</w:t>
      </w:r>
      <w:r>
        <w:rPr>
          <w:rFonts w:hint="eastAsia" w:ascii="宋体" w:hAnsi="宋体" w:cs="宋体"/>
          <w:color w:val="auto"/>
          <w:kern w:val="2"/>
          <w:sz w:val="28"/>
          <w:szCs w:val="21"/>
          <w:highlight w:val="none"/>
          <w:lang w:val="en-US" w:eastAsia="zh-CN" w:bidi="ar-SA"/>
        </w:rPr>
        <w:t>北</w:t>
      </w:r>
      <w:r>
        <w:rPr>
          <w:rFonts w:hint="eastAsia" w:ascii="宋体" w:hAnsi="宋体" w:eastAsia="宋体" w:cs="宋体"/>
          <w:color w:val="auto"/>
          <w:kern w:val="2"/>
          <w:sz w:val="28"/>
          <w:szCs w:val="21"/>
          <w:highlight w:val="none"/>
          <w:lang w:val="en-US" w:eastAsia="zh-CN" w:bidi="ar-SA"/>
        </w:rPr>
        <w:t>侧，该站设有</w:t>
      </w:r>
      <w:r>
        <w:rPr>
          <w:rFonts w:hint="eastAsia" w:ascii="宋体" w:hAnsi="宋体" w:cs="宋体"/>
          <w:color w:val="auto"/>
          <w:kern w:val="2"/>
          <w:sz w:val="28"/>
          <w:szCs w:val="21"/>
          <w:highlight w:val="none"/>
          <w:lang w:val="en-US" w:eastAsia="zh-CN" w:bidi="ar-SA"/>
        </w:rPr>
        <w:t>三次油气回收系统（</w:t>
      </w:r>
      <w:r>
        <w:rPr>
          <w:rFonts w:hint="eastAsia" w:ascii="宋体" w:hAnsi="宋体" w:eastAsia="宋体" w:cs="宋体"/>
          <w:color w:val="auto"/>
          <w:kern w:val="2"/>
          <w:sz w:val="28"/>
          <w:szCs w:val="21"/>
          <w:highlight w:val="none"/>
          <w:lang w:val="en-US" w:eastAsia="zh-CN" w:bidi="ar-SA"/>
        </w:rPr>
        <w:t>卸油油气回收系统、加油油气回收系统</w:t>
      </w:r>
      <w:r>
        <w:rPr>
          <w:rFonts w:hint="eastAsia" w:ascii="宋体" w:hAnsi="宋体"/>
          <w:color w:val="auto"/>
          <w:szCs w:val="28"/>
          <w:highlight w:val="none"/>
          <w:lang w:eastAsia="zh-CN"/>
        </w:rPr>
        <w:t>、</w:t>
      </w:r>
      <w:r>
        <w:rPr>
          <w:rFonts w:hint="eastAsia" w:ascii="宋体" w:hAnsi="宋体"/>
          <w:color w:val="auto"/>
          <w:szCs w:val="28"/>
          <w:highlight w:val="none"/>
          <w:lang w:val="en-US" w:eastAsia="zh-CN"/>
        </w:rPr>
        <w:t>油气回收处理系统</w:t>
      </w:r>
      <w:r>
        <w:rPr>
          <w:rFonts w:hint="eastAsia" w:ascii="宋体" w:hAnsi="宋体" w:cs="宋体"/>
          <w:color w:val="auto"/>
          <w:kern w:val="2"/>
          <w:sz w:val="28"/>
          <w:szCs w:val="21"/>
          <w:highlight w:val="none"/>
          <w:lang w:val="en-US" w:eastAsia="zh-CN" w:bidi="ar-SA"/>
        </w:rPr>
        <w:t>）</w:t>
      </w:r>
      <w:r>
        <w:rPr>
          <w:rFonts w:hint="eastAsia" w:ascii="宋体" w:hAnsi="宋体"/>
          <w:color w:val="auto"/>
          <w:szCs w:val="28"/>
          <w:highlight w:val="none"/>
        </w:rPr>
        <w:t>；</w:t>
      </w:r>
      <w:r>
        <w:rPr>
          <w:rFonts w:hint="eastAsia" w:ascii="宋体" w:hAnsi="宋体"/>
          <w:color w:val="auto"/>
          <w:szCs w:val="28"/>
          <w:highlight w:val="none"/>
          <w:lang w:val="en-US" w:eastAsia="zh-CN"/>
        </w:rPr>
        <w:t>站区南侧</w:t>
      </w:r>
      <w:r>
        <w:rPr>
          <w:rFonts w:hint="eastAsia" w:ascii="宋体"/>
          <w:color w:val="auto"/>
          <w:highlight w:val="none"/>
          <w:shd w:val="clear"/>
        </w:rPr>
        <w:t>布置了</w:t>
      </w:r>
      <w:r>
        <w:rPr>
          <w:rFonts w:hint="eastAsia" w:ascii="宋体"/>
          <w:color w:val="auto"/>
          <w:highlight w:val="none"/>
          <w:shd w:val="clear"/>
          <w:lang w:val="en-US" w:eastAsia="zh-CN"/>
        </w:rPr>
        <w:t>3台双枪直流充电桩</w:t>
      </w:r>
      <w:r>
        <w:rPr>
          <w:rFonts w:hint="eastAsia" w:ascii="宋体"/>
          <w:color w:val="auto"/>
          <w:highlight w:val="none"/>
          <w:shd w:val="clear"/>
          <w:lang w:eastAsia="zh-CN"/>
        </w:rPr>
        <w:t>，</w:t>
      </w:r>
      <w:r>
        <w:rPr>
          <w:rFonts w:hint="eastAsia" w:ascii="宋体"/>
          <w:color w:val="auto"/>
          <w:highlight w:val="none"/>
          <w:shd w:val="clear"/>
          <w:lang w:val="en-US" w:eastAsia="zh-CN"/>
        </w:rPr>
        <w:t>站区西北角处设箱式变压器1台，</w:t>
      </w:r>
      <w:r>
        <w:rPr>
          <w:rFonts w:hint="eastAsia" w:ascii="宋体" w:hAnsi="宋体" w:eastAsia="宋体" w:cs="宋体"/>
          <w:color w:val="auto"/>
          <w:kern w:val="2"/>
          <w:sz w:val="28"/>
          <w:szCs w:val="21"/>
          <w:highlight w:val="none"/>
          <w:lang w:val="en-US" w:eastAsia="zh-CN" w:bidi="ar-SA"/>
        </w:rPr>
        <w:t>按《汽车加油加气加氢站技术标准》GB50156-2021标准规定：油罐总储量为</w:t>
      </w:r>
      <w:r>
        <w:rPr>
          <w:rFonts w:hint="eastAsia" w:ascii="宋体" w:hAnsi="宋体" w:cs="宋体"/>
          <w:color w:val="auto"/>
          <w:kern w:val="2"/>
          <w:sz w:val="28"/>
          <w:szCs w:val="21"/>
          <w:highlight w:val="none"/>
          <w:lang w:val="en-US" w:eastAsia="zh-CN" w:bidi="ar-SA"/>
        </w:rPr>
        <w:t>90</w:t>
      </w:r>
      <w:r>
        <w:rPr>
          <w:rFonts w:hint="eastAsia" w:ascii="宋体" w:hAnsi="宋体" w:eastAsia="宋体" w:cs="宋体"/>
          <w:color w:val="auto"/>
          <w:kern w:val="2"/>
          <w:sz w:val="28"/>
          <w:szCs w:val="21"/>
          <w:highlight w:val="none"/>
          <w:lang w:val="en-US" w:eastAsia="zh-CN" w:bidi="ar-SA"/>
        </w:rPr>
        <w:t>m³，柴油储罐容积折半计入总容积为</w:t>
      </w:r>
      <w:r>
        <w:rPr>
          <w:rFonts w:hint="eastAsia" w:ascii="宋体" w:hAnsi="宋体" w:cs="宋体"/>
          <w:color w:val="auto"/>
          <w:kern w:val="2"/>
          <w:sz w:val="28"/>
          <w:szCs w:val="21"/>
          <w:highlight w:val="none"/>
          <w:lang w:val="en-US" w:eastAsia="zh-CN" w:bidi="ar-SA"/>
        </w:rPr>
        <w:t>75</w:t>
      </w:r>
      <w:r>
        <w:rPr>
          <w:rFonts w:hint="eastAsia" w:ascii="宋体" w:hAnsi="宋体" w:eastAsia="宋体" w:cs="宋体"/>
          <w:color w:val="auto"/>
          <w:kern w:val="2"/>
          <w:sz w:val="28"/>
          <w:szCs w:val="21"/>
          <w:highlight w:val="none"/>
          <w:lang w:val="en-US" w:eastAsia="zh-CN" w:bidi="ar-SA"/>
        </w:rPr>
        <w:t>m³，该站属三级加油站。</w:t>
      </w:r>
    </w:p>
    <w:p w14:paraId="68CF6567">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5F594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46118C2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66D48694">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29C7A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6AA5D6CE">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33E402BB">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7C4C3FC">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24186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83C9C91">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5B227803">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65F193F">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007F3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89F59D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2369646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01688D78">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5D8ED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0812F7A">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4148B8C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59FDF32">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882FA4C">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4A2D946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3</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2785E6A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中国石化山东泰山石油</w:t>
      </w:r>
      <w:r>
        <w:rPr>
          <w:rFonts w:hint="eastAsia" w:ascii="宋体" w:hAnsi="宋体"/>
          <w:color w:val="auto"/>
          <w:sz w:val="28"/>
          <w:szCs w:val="28"/>
          <w:highlight w:val="none"/>
        </w:rPr>
        <w:t>股份有限公司于</w:t>
      </w:r>
      <w:r>
        <w:rPr>
          <w:rFonts w:hint="eastAsia" w:ascii="宋体" w:hAnsi="宋体"/>
          <w:color w:val="auto"/>
          <w:sz w:val="28"/>
          <w:szCs w:val="28"/>
          <w:highlight w:val="none"/>
          <w:lang w:val="en-US" w:eastAsia="zh-CN"/>
        </w:rPr>
        <w:t>2012</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1月10日取得了宁阳县人民政府签发的</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国有土地使用证</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证书编号：宁国用（2011）第072号，</w:t>
      </w:r>
      <w:r>
        <w:rPr>
          <w:rFonts w:hint="eastAsia" w:ascii="宋体" w:hAnsi="宋体"/>
          <w:color w:val="auto"/>
          <w:sz w:val="28"/>
          <w:szCs w:val="28"/>
          <w:highlight w:val="none"/>
        </w:rPr>
        <w:t>详见附件。</w:t>
      </w:r>
    </w:p>
    <w:p w14:paraId="338CB581">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default" w:ascii="宋体" w:hAnsi="Times New Roman" w:eastAsia="宋体" w:cs="Times New Roman"/>
          <w:color w:val="auto"/>
          <w:sz w:val="28"/>
          <w:szCs w:val="28"/>
          <w:highlight w:val="none"/>
          <w:lang w:val="en-US" w:eastAsia="zh-CN" w:bidi="ar-SA"/>
        </w:rPr>
      </w:pPr>
      <w:r>
        <w:rPr>
          <w:rFonts w:hint="eastAsia" w:ascii="宋体" w:hAnsi="Times New Roman" w:eastAsia="宋体" w:cs="Times New Roman"/>
          <w:color w:val="auto"/>
          <w:sz w:val="28"/>
          <w:szCs w:val="28"/>
          <w:highlight w:val="none"/>
          <w:lang w:val="en-US" w:eastAsia="zh-CN" w:bidi="ar-SA"/>
        </w:rPr>
        <w:t>加油站于20</w:t>
      </w:r>
      <w:r>
        <w:rPr>
          <w:rFonts w:hint="eastAsia" w:ascii="宋体" w:cs="Times New Roman"/>
          <w:color w:val="auto"/>
          <w:sz w:val="28"/>
          <w:szCs w:val="28"/>
          <w:highlight w:val="none"/>
          <w:lang w:val="en-US" w:eastAsia="zh-CN" w:bidi="ar-SA"/>
        </w:rPr>
        <w:t>04</w:t>
      </w:r>
      <w:r>
        <w:rPr>
          <w:rFonts w:hint="eastAsia" w:ascii="宋体" w:hAnsi="Times New Roman" w:eastAsia="宋体" w:cs="Times New Roman"/>
          <w:color w:val="auto"/>
          <w:sz w:val="28"/>
          <w:szCs w:val="28"/>
          <w:highlight w:val="none"/>
          <w:lang w:val="en-US" w:eastAsia="zh-CN" w:bidi="ar-SA"/>
        </w:rPr>
        <w:t>年</w:t>
      </w:r>
      <w:r>
        <w:rPr>
          <w:rFonts w:hint="eastAsia" w:ascii="宋体" w:cs="Times New Roman"/>
          <w:color w:val="auto"/>
          <w:sz w:val="28"/>
          <w:szCs w:val="28"/>
          <w:highlight w:val="none"/>
          <w:lang w:val="en-US" w:eastAsia="zh-CN" w:bidi="ar-SA"/>
        </w:rPr>
        <w:t>4</w:t>
      </w:r>
      <w:r>
        <w:rPr>
          <w:rFonts w:hint="eastAsia" w:ascii="宋体" w:hAnsi="Times New Roman" w:eastAsia="宋体" w:cs="Times New Roman"/>
          <w:color w:val="auto"/>
          <w:sz w:val="28"/>
          <w:szCs w:val="28"/>
          <w:highlight w:val="none"/>
          <w:lang w:val="en-US" w:eastAsia="zh-CN" w:bidi="ar-SA"/>
        </w:rPr>
        <w:t>月取得了</w:t>
      </w:r>
      <w:r>
        <w:rPr>
          <w:rFonts w:hint="eastAsia" w:ascii="宋体" w:cs="Times New Roman"/>
          <w:color w:val="auto"/>
          <w:sz w:val="28"/>
          <w:szCs w:val="28"/>
          <w:highlight w:val="none"/>
          <w:lang w:val="en-US" w:eastAsia="zh-CN" w:bidi="ar-SA"/>
        </w:rPr>
        <w:t>宁阳县公安局出具的</w:t>
      </w:r>
      <w:r>
        <w:rPr>
          <w:rFonts w:hint="eastAsia" w:ascii="宋体"/>
          <w:color w:val="auto"/>
          <w:sz w:val="28"/>
          <w:szCs w:val="28"/>
          <w:highlight w:val="none"/>
        </w:rPr>
        <w:t>《</w:t>
      </w:r>
      <w:r>
        <w:rPr>
          <w:rFonts w:hint="eastAsia" w:ascii="宋体"/>
          <w:color w:val="auto"/>
          <w:sz w:val="28"/>
          <w:szCs w:val="28"/>
          <w:highlight w:val="none"/>
          <w:lang w:val="en-US" w:eastAsia="zh-CN"/>
        </w:rPr>
        <w:t>建筑工程竣工消防验收意见书</w:t>
      </w:r>
      <w:r>
        <w:rPr>
          <w:rFonts w:hint="eastAsia" w:ascii="宋体"/>
          <w:color w:val="auto"/>
          <w:sz w:val="28"/>
          <w:szCs w:val="28"/>
          <w:highlight w:val="none"/>
        </w:rPr>
        <w:t>》</w:t>
      </w:r>
      <w:r>
        <w:rPr>
          <w:rFonts w:hint="eastAsia" w:ascii="宋体"/>
          <w:color w:val="auto"/>
          <w:sz w:val="28"/>
          <w:szCs w:val="28"/>
          <w:highlight w:val="none"/>
          <w:lang w:eastAsia="zh-CN"/>
        </w:rPr>
        <w:t>，</w:t>
      </w:r>
      <w:r>
        <w:rPr>
          <w:rFonts w:hint="eastAsia" w:ascii="宋体" w:cs="Times New Roman"/>
          <w:color w:val="auto"/>
          <w:sz w:val="28"/>
          <w:szCs w:val="28"/>
          <w:highlight w:val="none"/>
          <w:lang w:val="en-US" w:eastAsia="zh-CN" w:bidi="ar-SA"/>
        </w:rPr>
        <w:t>结论为：认为合格，准许使用，</w:t>
      </w:r>
      <w:r>
        <w:rPr>
          <w:rFonts w:hint="eastAsia" w:ascii="宋体" w:hAnsi="Times New Roman" w:eastAsia="宋体" w:cs="Times New Roman"/>
          <w:color w:val="auto"/>
          <w:sz w:val="28"/>
          <w:szCs w:val="28"/>
          <w:highlight w:val="none"/>
          <w:lang w:val="en-US" w:eastAsia="zh-CN" w:bidi="ar-SA"/>
        </w:rPr>
        <w:t>详见附件。</w:t>
      </w:r>
      <w:r>
        <w:rPr>
          <w:rFonts w:hint="eastAsia"/>
          <w:color w:val="auto"/>
          <w:highlight w:val="none"/>
          <w:lang w:val="en-US" w:eastAsia="zh-CN"/>
        </w:rPr>
        <w:t>加油站于2010年4月20日取得了宁阳县公安消防大队出具的</w:t>
      </w:r>
      <w:r>
        <w:rPr>
          <w:rFonts w:hint="eastAsia" w:ascii="宋体"/>
          <w:color w:val="auto"/>
          <w:sz w:val="28"/>
          <w:szCs w:val="28"/>
          <w:highlight w:val="none"/>
        </w:rPr>
        <w:t>《</w:t>
      </w:r>
      <w:r>
        <w:rPr>
          <w:rFonts w:hint="eastAsia" w:ascii="宋体"/>
          <w:color w:val="auto"/>
          <w:sz w:val="28"/>
          <w:szCs w:val="28"/>
          <w:highlight w:val="none"/>
          <w:lang w:val="en-US" w:eastAsia="zh-CN"/>
        </w:rPr>
        <w:t>加油站安全防范用地证明</w:t>
      </w:r>
      <w:r>
        <w:rPr>
          <w:rFonts w:hint="eastAsia" w:ascii="宋体"/>
          <w:color w:val="auto"/>
          <w:sz w:val="28"/>
          <w:szCs w:val="28"/>
          <w:highlight w:val="none"/>
        </w:rPr>
        <w:t>》</w:t>
      </w:r>
      <w:r>
        <w:rPr>
          <w:rFonts w:hint="eastAsia" w:ascii="宋体" w:cs="Times New Roman"/>
          <w:color w:val="auto"/>
          <w:sz w:val="28"/>
          <w:szCs w:val="28"/>
          <w:highlight w:val="none"/>
          <w:lang w:val="en-US" w:eastAsia="zh-CN" w:bidi="ar-SA"/>
        </w:rPr>
        <w:t>，</w:t>
      </w:r>
      <w:r>
        <w:rPr>
          <w:rFonts w:hint="eastAsia" w:ascii="宋体" w:hAnsi="Times New Roman" w:eastAsia="宋体" w:cs="Times New Roman"/>
          <w:color w:val="auto"/>
          <w:sz w:val="28"/>
          <w:szCs w:val="28"/>
          <w:highlight w:val="none"/>
          <w:lang w:val="en-US" w:eastAsia="zh-CN" w:bidi="ar-SA"/>
        </w:rPr>
        <w:t>详见附件。</w:t>
      </w:r>
    </w:p>
    <w:p w14:paraId="5348E104">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sz w:val="28"/>
          <w:szCs w:val="28"/>
          <w:highlight w:val="none"/>
        </w:rPr>
      </w:pPr>
      <w:r>
        <w:rPr>
          <w:rFonts w:hint="eastAsia" w:ascii="宋体"/>
          <w:color w:val="auto"/>
          <w:sz w:val="28"/>
          <w:szCs w:val="28"/>
          <w:highlight w:val="none"/>
        </w:rPr>
        <w:t>加油站于</w:t>
      </w:r>
      <w:r>
        <w:rPr>
          <w:rFonts w:ascii="宋体"/>
          <w:color w:val="auto"/>
          <w:sz w:val="28"/>
          <w:szCs w:val="28"/>
          <w:highlight w:val="none"/>
        </w:rPr>
        <w:t>20</w:t>
      </w:r>
      <w:r>
        <w:rPr>
          <w:rFonts w:hint="eastAsia" w:ascii="宋体"/>
          <w:color w:val="auto"/>
          <w:sz w:val="28"/>
          <w:szCs w:val="28"/>
          <w:highlight w:val="none"/>
        </w:rPr>
        <w:t>2</w:t>
      </w:r>
      <w:r>
        <w:rPr>
          <w:rFonts w:hint="eastAsia" w:ascii="宋体"/>
          <w:color w:val="auto"/>
          <w:sz w:val="28"/>
          <w:szCs w:val="28"/>
          <w:highlight w:val="none"/>
          <w:lang w:val="en-US" w:eastAsia="zh-CN"/>
        </w:rPr>
        <w:t>1</w:t>
      </w:r>
      <w:r>
        <w:rPr>
          <w:rFonts w:ascii="宋体"/>
          <w:color w:val="auto"/>
          <w:sz w:val="28"/>
          <w:szCs w:val="28"/>
          <w:highlight w:val="none"/>
        </w:rPr>
        <w:t>年</w:t>
      </w:r>
      <w:r>
        <w:rPr>
          <w:rFonts w:hint="eastAsia" w:ascii="宋体"/>
          <w:color w:val="auto"/>
          <w:sz w:val="28"/>
          <w:szCs w:val="28"/>
          <w:highlight w:val="none"/>
          <w:lang w:val="en-US" w:eastAsia="zh-CN"/>
        </w:rPr>
        <w:t>06</w:t>
      </w:r>
      <w:r>
        <w:rPr>
          <w:rFonts w:ascii="宋体"/>
          <w:color w:val="auto"/>
          <w:sz w:val="28"/>
          <w:szCs w:val="28"/>
          <w:highlight w:val="none"/>
        </w:rPr>
        <w:t>月</w:t>
      </w:r>
      <w:r>
        <w:rPr>
          <w:rFonts w:hint="eastAsia" w:ascii="宋体"/>
          <w:color w:val="auto"/>
          <w:sz w:val="28"/>
          <w:szCs w:val="28"/>
          <w:highlight w:val="none"/>
          <w:lang w:val="en-US" w:eastAsia="zh-CN"/>
        </w:rPr>
        <w:t>22</w:t>
      </w:r>
      <w:r>
        <w:rPr>
          <w:rFonts w:ascii="宋体"/>
          <w:color w:val="auto"/>
          <w:sz w:val="28"/>
          <w:szCs w:val="28"/>
          <w:highlight w:val="none"/>
        </w:rPr>
        <w:t>日</w:t>
      </w:r>
      <w:r>
        <w:rPr>
          <w:rFonts w:hint="eastAsia" w:ascii="宋体"/>
          <w:color w:val="auto"/>
          <w:sz w:val="28"/>
          <w:szCs w:val="28"/>
          <w:highlight w:val="none"/>
        </w:rPr>
        <w:t>换发了</w:t>
      </w:r>
      <w:r>
        <w:rPr>
          <w:rFonts w:ascii="宋体"/>
          <w:color w:val="auto"/>
          <w:sz w:val="28"/>
          <w:szCs w:val="28"/>
          <w:highlight w:val="none"/>
        </w:rPr>
        <w:t>《成品油零售经营批准证书》，证书编号：</w:t>
      </w:r>
      <w:r>
        <w:rPr>
          <w:rFonts w:hint="eastAsia" w:ascii="宋体"/>
          <w:color w:val="auto"/>
          <w:sz w:val="28"/>
          <w:szCs w:val="28"/>
          <w:highlight w:val="none"/>
        </w:rPr>
        <w:t>鲁油零售证书第37090</w:t>
      </w:r>
      <w:r>
        <w:rPr>
          <w:rFonts w:hint="eastAsia" w:ascii="宋体"/>
          <w:color w:val="auto"/>
          <w:sz w:val="28"/>
          <w:szCs w:val="28"/>
          <w:highlight w:val="none"/>
          <w:lang w:val="en-US" w:eastAsia="zh-CN"/>
        </w:rPr>
        <w:t>41021</w:t>
      </w:r>
      <w:r>
        <w:rPr>
          <w:rFonts w:ascii="宋体"/>
          <w:color w:val="auto"/>
          <w:sz w:val="28"/>
          <w:szCs w:val="28"/>
          <w:highlight w:val="none"/>
        </w:rPr>
        <w:t>号</w:t>
      </w:r>
      <w:r>
        <w:rPr>
          <w:rFonts w:hint="eastAsia" w:ascii="宋体"/>
          <w:color w:val="auto"/>
          <w:sz w:val="28"/>
          <w:szCs w:val="28"/>
          <w:highlight w:val="none"/>
        </w:rPr>
        <w:t>，证书有效期至2026年</w:t>
      </w:r>
      <w:r>
        <w:rPr>
          <w:rFonts w:hint="eastAsia" w:ascii="宋体"/>
          <w:color w:val="auto"/>
          <w:sz w:val="28"/>
          <w:szCs w:val="28"/>
          <w:highlight w:val="none"/>
          <w:lang w:val="en-US" w:eastAsia="zh-CN"/>
        </w:rPr>
        <w:t>06</w:t>
      </w:r>
      <w:r>
        <w:rPr>
          <w:rFonts w:hint="eastAsia" w:ascii="宋体"/>
          <w:color w:val="auto"/>
          <w:sz w:val="28"/>
          <w:szCs w:val="28"/>
          <w:highlight w:val="none"/>
        </w:rPr>
        <w:t>月</w:t>
      </w:r>
      <w:r>
        <w:rPr>
          <w:rFonts w:hint="eastAsia" w:ascii="宋体"/>
          <w:color w:val="auto"/>
          <w:sz w:val="28"/>
          <w:szCs w:val="28"/>
          <w:highlight w:val="none"/>
          <w:lang w:val="en-US" w:eastAsia="zh-CN"/>
        </w:rPr>
        <w:t>22</w:t>
      </w:r>
      <w:r>
        <w:rPr>
          <w:rFonts w:hint="eastAsia" w:ascii="宋体"/>
          <w:color w:val="auto"/>
          <w:sz w:val="28"/>
          <w:szCs w:val="28"/>
          <w:highlight w:val="none"/>
        </w:rPr>
        <w:t>日，证书见附件</w:t>
      </w:r>
      <w:r>
        <w:rPr>
          <w:rFonts w:ascii="宋体"/>
          <w:color w:val="auto"/>
          <w:sz w:val="28"/>
          <w:szCs w:val="28"/>
          <w:highlight w:val="none"/>
        </w:rPr>
        <w:t>。</w:t>
      </w:r>
    </w:p>
    <w:p w14:paraId="0159985D">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sz w:val="28"/>
          <w:szCs w:val="28"/>
          <w:highlight w:val="none"/>
        </w:rPr>
      </w:pPr>
      <w:r>
        <w:rPr>
          <w:rFonts w:hint="eastAsia" w:ascii="宋体"/>
          <w:color w:val="auto"/>
          <w:sz w:val="28"/>
          <w:szCs w:val="28"/>
          <w:highlight w:val="none"/>
        </w:rPr>
        <w:t>加油站于</w:t>
      </w:r>
      <w:r>
        <w:rPr>
          <w:rFonts w:ascii="宋体"/>
          <w:color w:val="auto"/>
          <w:sz w:val="28"/>
          <w:szCs w:val="28"/>
          <w:highlight w:val="none"/>
        </w:rPr>
        <w:t>20</w:t>
      </w:r>
      <w:r>
        <w:rPr>
          <w:rFonts w:hint="eastAsia" w:ascii="宋体"/>
          <w:color w:val="auto"/>
          <w:sz w:val="28"/>
          <w:szCs w:val="28"/>
          <w:highlight w:val="none"/>
        </w:rPr>
        <w:t>2</w:t>
      </w:r>
      <w:r>
        <w:rPr>
          <w:rFonts w:hint="eastAsia" w:ascii="宋体"/>
          <w:color w:val="auto"/>
          <w:sz w:val="28"/>
          <w:szCs w:val="28"/>
          <w:highlight w:val="none"/>
          <w:lang w:val="en-US" w:eastAsia="zh-CN"/>
        </w:rPr>
        <w:t>2</w:t>
      </w:r>
      <w:r>
        <w:rPr>
          <w:rFonts w:hint="eastAsia" w:ascii="宋体"/>
          <w:color w:val="auto"/>
          <w:sz w:val="28"/>
          <w:szCs w:val="28"/>
          <w:highlight w:val="none"/>
        </w:rPr>
        <w:t>年</w:t>
      </w:r>
      <w:r>
        <w:rPr>
          <w:rFonts w:hint="eastAsia" w:ascii="宋体"/>
          <w:color w:val="auto"/>
          <w:sz w:val="28"/>
          <w:szCs w:val="28"/>
          <w:highlight w:val="none"/>
          <w:lang w:val="en-US" w:eastAsia="zh-CN"/>
        </w:rPr>
        <w:t>7</w:t>
      </w:r>
      <w:r>
        <w:rPr>
          <w:rFonts w:hint="eastAsia" w:ascii="宋体"/>
          <w:color w:val="auto"/>
          <w:sz w:val="28"/>
          <w:szCs w:val="28"/>
          <w:highlight w:val="none"/>
        </w:rPr>
        <w:t>月</w:t>
      </w:r>
      <w:r>
        <w:rPr>
          <w:rFonts w:hint="eastAsia" w:ascii="宋体"/>
          <w:color w:val="auto"/>
          <w:sz w:val="28"/>
          <w:szCs w:val="28"/>
          <w:highlight w:val="none"/>
          <w:lang w:val="en-US" w:eastAsia="zh-CN"/>
        </w:rPr>
        <w:t>19</w:t>
      </w:r>
      <w:r>
        <w:rPr>
          <w:rFonts w:hint="eastAsia" w:ascii="宋体"/>
          <w:color w:val="auto"/>
          <w:sz w:val="28"/>
          <w:szCs w:val="28"/>
          <w:highlight w:val="none"/>
        </w:rPr>
        <w:t>日换发了《危险化学品经营许可证》，证书编号：鲁泰危化经[20</w:t>
      </w:r>
      <w:r>
        <w:rPr>
          <w:rFonts w:hint="eastAsia" w:ascii="宋体"/>
          <w:color w:val="auto"/>
          <w:sz w:val="28"/>
          <w:szCs w:val="28"/>
          <w:highlight w:val="none"/>
          <w:lang w:val="en-US" w:eastAsia="zh-CN"/>
        </w:rPr>
        <w:t>22</w:t>
      </w:r>
      <w:r>
        <w:rPr>
          <w:rFonts w:hint="eastAsia" w:ascii="宋体"/>
          <w:color w:val="auto"/>
          <w:sz w:val="28"/>
          <w:szCs w:val="28"/>
          <w:highlight w:val="none"/>
        </w:rPr>
        <w:t>]000</w:t>
      </w:r>
      <w:r>
        <w:rPr>
          <w:rFonts w:hint="eastAsia" w:ascii="宋体"/>
          <w:color w:val="auto"/>
          <w:sz w:val="28"/>
          <w:szCs w:val="28"/>
          <w:highlight w:val="none"/>
          <w:lang w:val="en-US" w:eastAsia="zh-CN"/>
        </w:rPr>
        <w:t>346</w:t>
      </w:r>
      <w:r>
        <w:rPr>
          <w:rFonts w:hint="eastAsia" w:ascii="宋体"/>
          <w:color w:val="auto"/>
          <w:sz w:val="28"/>
          <w:szCs w:val="28"/>
          <w:highlight w:val="none"/>
        </w:rPr>
        <w:t>号，证书有效期至202</w:t>
      </w:r>
      <w:r>
        <w:rPr>
          <w:rFonts w:hint="eastAsia" w:ascii="宋体"/>
          <w:color w:val="auto"/>
          <w:sz w:val="28"/>
          <w:szCs w:val="28"/>
          <w:highlight w:val="none"/>
          <w:lang w:val="en-US" w:eastAsia="zh-CN"/>
        </w:rPr>
        <w:t>5</w:t>
      </w:r>
      <w:r>
        <w:rPr>
          <w:rFonts w:hint="eastAsia" w:ascii="宋体"/>
          <w:color w:val="auto"/>
          <w:sz w:val="28"/>
          <w:szCs w:val="28"/>
          <w:highlight w:val="none"/>
        </w:rPr>
        <w:t>年</w:t>
      </w:r>
      <w:r>
        <w:rPr>
          <w:rFonts w:hint="eastAsia" w:ascii="宋体"/>
          <w:color w:val="auto"/>
          <w:sz w:val="28"/>
          <w:szCs w:val="28"/>
          <w:highlight w:val="none"/>
          <w:lang w:val="en-US" w:eastAsia="zh-CN"/>
        </w:rPr>
        <w:t>7</w:t>
      </w:r>
      <w:r>
        <w:rPr>
          <w:rFonts w:hint="eastAsia" w:ascii="宋体"/>
          <w:color w:val="auto"/>
          <w:sz w:val="28"/>
          <w:szCs w:val="28"/>
          <w:highlight w:val="none"/>
        </w:rPr>
        <w:t>月</w:t>
      </w:r>
      <w:r>
        <w:rPr>
          <w:rFonts w:hint="eastAsia" w:ascii="宋体"/>
          <w:color w:val="auto"/>
          <w:sz w:val="28"/>
          <w:szCs w:val="28"/>
          <w:highlight w:val="none"/>
          <w:lang w:val="en-US" w:eastAsia="zh-CN"/>
        </w:rPr>
        <w:t>18</w:t>
      </w:r>
      <w:r>
        <w:rPr>
          <w:rFonts w:hint="eastAsia" w:ascii="宋体"/>
          <w:color w:val="auto"/>
          <w:sz w:val="28"/>
          <w:szCs w:val="28"/>
          <w:highlight w:val="none"/>
        </w:rPr>
        <w:t>日，证书见附件。</w:t>
      </w:r>
    </w:p>
    <w:p w14:paraId="237D0445">
      <w:pPr>
        <w:pStyle w:val="17"/>
        <w:widowControl w:val="0"/>
        <w:adjustRightInd w:val="0"/>
        <w:snapToGrid w:val="0"/>
        <w:spacing w:line="360" w:lineRule="auto"/>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该站充电桩项目于2023年</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日开工建设，2023年1</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18</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lang w:val="en-US" w:eastAsia="zh-CN"/>
        </w:rPr>
        <w:t>竣工</w:t>
      </w:r>
      <w:r>
        <w:rPr>
          <w:rFonts w:hint="eastAsia" w:asciiTheme="minorEastAsia" w:hAnsiTheme="minorEastAsia" w:eastAsiaTheme="minorEastAsia" w:cstheme="minorEastAsia"/>
          <w:color w:val="auto"/>
          <w:highlight w:val="none"/>
        </w:rPr>
        <w:t>，由山东</w:t>
      </w:r>
      <w:r>
        <w:rPr>
          <w:rFonts w:hint="eastAsia" w:asciiTheme="minorEastAsia" w:hAnsiTheme="minorEastAsia" w:eastAsiaTheme="minorEastAsia" w:cstheme="minorEastAsia"/>
          <w:color w:val="auto"/>
          <w:highlight w:val="none"/>
          <w:lang w:val="en-US" w:eastAsia="zh-CN"/>
        </w:rPr>
        <w:t>一滕建设集团</w:t>
      </w:r>
      <w:r>
        <w:rPr>
          <w:rFonts w:hint="eastAsia" w:asciiTheme="minorEastAsia" w:hAnsiTheme="minorEastAsia" w:eastAsiaTheme="minorEastAsia" w:cstheme="minorEastAsia"/>
          <w:color w:val="auto"/>
          <w:highlight w:val="none"/>
        </w:rPr>
        <w:t>有限公司负责该项目的施工安装，资质证书编号：D137</w:t>
      </w:r>
      <w:r>
        <w:rPr>
          <w:rFonts w:hint="eastAsia" w:asciiTheme="minorEastAsia" w:hAnsiTheme="minorEastAsia" w:eastAsiaTheme="minorEastAsia" w:cstheme="minorEastAsia"/>
          <w:color w:val="auto"/>
          <w:highlight w:val="none"/>
          <w:lang w:val="en-US" w:eastAsia="zh-CN"/>
        </w:rPr>
        <w:t>093333</w:t>
      </w:r>
      <w:r>
        <w:rPr>
          <w:rFonts w:hint="eastAsia" w:asciiTheme="minorEastAsia" w:hAnsiTheme="minorEastAsia" w:eastAsiaTheme="minorEastAsia" w:cstheme="minorEastAsia"/>
          <w:color w:val="auto"/>
          <w:highlight w:val="none"/>
        </w:rPr>
        <w:t>。施工单位具备相应的资质，资质范围符合该项目要求。</w:t>
      </w:r>
    </w:p>
    <w:p w14:paraId="4737BF8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该站编制了生产安全事故应急预案，于202</w:t>
      </w:r>
      <w:r>
        <w:rPr>
          <w:rFonts w:hint="eastAsia" w:ascii="宋体" w:hAnsi="宋体"/>
          <w:color w:val="auto"/>
          <w:sz w:val="28"/>
          <w:szCs w:val="28"/>
          <w:highlight w:val="none"/>
          <w:lang w:val="en-US" w:eastAsia="zh-CN"/>
        </w:rPr>
        <w:t>4年10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17</w:t>
      </w:r>
      <w:r>
        <w:rPr>
          <w:rFonts w:hint="eastAsia" w:ascii="宋体" w:hAnsi="宋体"/>
          <w:color w:val="auto"/>
          <w:sz w:val="28"/>
          <w:szCs w:val="28"/>
          <w:highlight w:val="none"/>
        </w:rPr>
        <w:t>日在泰安市应急管理局进行了备案，备案编号为：3709</w:t>
      </w:r>
      <w:r>
        <w:rPr>
          <w:rFonts w:hint="eastAsia" w:ascii="宋体" w:hAnsi="宋体"/>
          <w:color w:val="auto"/>
          <w:sz w:val="28"/>
          <w:szCs w:val="28"/>
          <w:highlight w:val="none"/>
          <w:lang w:val="en-US" w:eastAsia="zh-CN"/>
        </w:rPr>
        <w:t>00</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-0</w:t>
      </w:r>
      <w:r>
        <w:rPr>
          <w:rFonts w:hint="eastAsia" w:ascii="宋体" w:hAnsi="宋体"/>
          <w:color w:val="auto"/>
          <w:sz w:val="28"/>
          <w:szCs w:val="28"/>
          <w:highlight w:val="none"/>
          <w:lang w:val="en-US" w:eastAsia="zh-CN"/>
        </w:rPr>
        <w:t>018</w:t>
      </w:r>
      <w:r>
        <w:rPr>
          <w:rFonts w:hint="eastAsia" w:ascii="宋体" w:hAnsi="宋体"/>
          <w:color w:val="auto"/>
          <w:sz w:val="28"/>
          <w:szCs w:val="28"/>
          <w:highlight w:val="none"/>
        </w:rPr>
        <w:t>，详见附件。</w:t>
      </w:r>
    </w:p>
    <w:p w14:paraId="352A800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szCs w:val="28"/>
          <w:highlight w:val="none"/>
        </w:rPr>
        <w:t>山东天科防雷工程有限公司对该站进行了相关防雷设施的检测，出具了合格的《雷电防护装置定期检测报告》，报告编号：</w:t>
      </w:r>
      <w:r>
        <w:rPr>
          <w:rFonts w:hint="eastAsia" w:ascii="宋体" w:hAnsi="宋体"/>
          <w:color w:val="auto"/>
          <w:sz w:val="28"/>
          <w:szCs w:val="28"/>
          <w:highlight w:val="none"/>
          <w:lang w:val="en-US" w:eastAsia="zh-CN"/>
        </w:rPr>
        <w:t>（1122016001）[</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5]D-</w:t>
      </w:r>
      <w:r>
        <w:rPr>
          <w:rFonts w:hint="eastAsia" w:ascii="宋体" w:hAnsi="宋体"/>
          <w:color w:val="auto"/>
          <w:sz w:val="28"/>
          <w:szCs w:val="28"/>
          <w:highlight w:val="none"/>
        </w:rPr>
        <w:t>TA</w:t>
      </w:r>
      <w:r>
        <w:rPr>
          <w:rFonts w:hint="eastAsia" w:ascii="宋体" w:hAnsi="宋体"/>
          <w:color w:val="auto"/>
          <w:sz w:val="28"/>
          <w:szCs w:val="28"/>
          <w:highlight w:val="none"/>
          <w:lang w:val="en-US" w:eastAsia="zh-CN"/>
        </w:rPr>
        <w:t>NY0018</w:t>
      </w:r>
      <w:r>
        <w:rPr>
          <w:rFonts w:hint="eastAsia" w:ascii="宋体" w:hAnsi="宋体"/>
          <w:color w:val="auto"/>
          <w:sz w:val="28"/>
          <w:szCs w:val="28"/>
          <w:highlight w:val="none"/>
        </w:rPr>
        <w:t>号，防雷类别：二类，结论为“合格：雷电防</w:t>
      </w:r>
      <w:r>
        <w:rPr>
          <w:rFonts w:hint="eastAsia" w:ascii="宋体" w:hAnsi="宋体"/>
          <w:color w:val="auto"/>
          <w:sz w:val="28"/>
          <w:highlight w:val="none"/>
        </w:rPr>
        <w:t>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09</w:t>
      </w:r>
      <w:r>
        <w:rPr>
          <w:rFonts w:hint="eastAsia" w:ascii="宋体" w:hAnsi="宋体"/>
          <w:color w:val="auto"/>
          <w:sz w:val="28"/>
          <w:highlight w:val="none"/>
        </w:rPr>
        <w:t>月</w:t>
      </w:r>
      <w:r>
        <w:rPr>
          <w:rFonts w:hint="eastAsia" w:ascii="宋体" w:hAnsi="宋体"/>
          <w:color w:val="auto"/>
          <w:sz w:val="28"/>
          <w:highlight w:val="none"/>
          <w:lang w:val="en-US" w:eastAsia="zh-CN"/>
        </w:rPr>
        <w:t>21</w:t>
      </w:r>
      <w:r>
        <w:rPr>
          <w:rFonts w:hint="eastAsia" w:ascii="宋体" w:hAnsi="宋体"/>
          <w:color w:val="auto"/>
          <w:sz w:val="28"/>
          <w:highlight w:val="none"/>
        </w:rPr>
        <w:t>日，检测报告见附件。</w:t>
      </w:r>
    </w:p>
    <w:p w14:paraId="54138E6D">
      <w:pPr>
        <w:pStyle w:val="17"/>
        <w:keepLines w:val="0"/>
        <w:widowControl w:val="0"/>
        <w:shd w:val="clear"/>
        <w:wordWrap/>
        <w:overflowPunct/>
        <w:topLinePunct w:val="0"/>
        <w:bidi w:val="0"/>
        <w:adjustRightInd w:val="0"/>
        <w:snapToGrid w:val="0"/>
        <w:spacing w:line="360" w:lineRule="auto"/>
        <w:ind w:firstLine="560"/>
        <w:rPr>
          <w:rFonts w:hint="default" w:ascii="宋体"/>
          <w:color w:val="auto"/>
          <w:highlight w:val="none"/>
          <w:shd w:val="clear" w:fill="FFC000"/>
          <w:lang w:val="en-US"/>
        </w:rPr>
      </w:pPr>
      <w:r>
        <w:rPr>
          <w:rFonts w:hint="eastAsia" w:ascii="宋体"/>
          <w:color w:val="auto"/>
          <w:highlight w:val="none"/>
          <w:shd w:val="clear"/>
          <w:lang w:val="en-US" w:eastAsia="zh-CN"/>
        </w:rPr>
        <w:t>济南本安科技发展有限公司对该站的可燃气体检测报警器进行了相关检验，出具了合格的《检验报告》，检验结论：维护后检验合格。检验日期为2024年06月28日，有效期至2025年06月27日。</w:t>
      </w:r>
    </w:p>
    <w:p w14:paraId="02FC32C6">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人民财产</w:t>
      </w:r>
      <w:r>
        <w:rPr>
          <w:rFonts w:hint="eastAsia" w:ascii="宋体"/>
          <w:color w:val="auto"/>
          <w:highlight w:val="none"/>
        </w:rPr>
        <w:t>保险股份有限公司</w:t>
      </w:r>
      <w:r>
        <w:rPr>
          <w:rFonts w:hint="eastAsia" w:ascii="宋体"/>
          <w:color w:val="auto"/>
          <w:highlight w:val="none"/>
          <w:lang w:val="en-US" w:eastAsia="zh-CN"/>
        </w:rPr>
        <w:t>济南市分公司</w:t>
      </w:r>
      <w:r>
        <w:rPr>
          <w:rFonts w:hint="eastAsia" w:ascii="宋体"/>
          <w:color w:val="auto"/>
          <w:highlight w:val="none"/>
        </w:rPr>
        <w:t>投保安全生产责任保险，保险期限202</w:t>
      </w:r>
      <w:r>
        <w:rPr>
          <w:rFonts w:hint="eastAsia" w:ascii="宋体"/>
          <w:color w:val="auto"/>
          <w:highlight w:val="none"/>
          <w:lang w:val="en-US" w:eastAsia="zh-CN"/>
        </w:rPr>
        <w:t>4</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23</w:t>
      </w:r>
      <w:r>
        <w:rPr>
          <w:rFonts w:hint="eastAsia" w:ascii="宋体"/>
          <w:color w:val="auto"/>
          <w:highlight w:val="none"/>
        </w:rPr>
        <w:t>日至202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月2</w:t>
      </w:r>
      <w:r>
        <w:rPr>
          <w:rFonts w:hint="eastAsia" w:ascii="宋体"/>
          <w:color w:val="auto"/>
          <w:highlight w:val="none"/>
          <w:lang w:val="en-US" w:eastAsia="zh-CN"/>
        </w:rPr>
        <w:t>2</w:t>
      </w:r>
      <w:r>
        <w:rPr>
          <w:rFonts w:hint="eastAsia" w:ascii="宋体"/>
          <w:color w:val="auto"/>
          <w:highlight w:val="none"/>
        </w:rPr>
        <w:t>日，详见附件。</w:t>
      </w:r>
    </w:p>
    <w:p w14:paraId="74B7594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1D4ABD82">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1</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14</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4</w:t>
      </w:r>
      <w:r>
        <w:rPr>
          <w:rFonts w:hint="eastAsia" w:ascii="宋体"/>
          <w:color w:val="auto"/>
          <w:highlight w:val="none"/>
        </w:rPr>
        <w:t>具，灭火毯</w:t>
      </w:r>
      <w:r>
        <w:rPr>
          <w:rFonts w:hint="eastAsia" w:ascii="宋体"/>
          <w:color w:val="auto"/>
          <w:highlight w:val="none"/>
          <w:lang w:val="en-US" w:eastAsia="zh-CN"/>
        </w:rPr>
        <w:t>4</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把，消防桶2个，消防沙池2m</w:t>
      </w:r>
      <w:r>
        <w:rPr>
          <w:rFonts w:hint="eastAsia" w:ascii="宋体"/>
          <w:color w:val="auto"/>
          <w:highlight w:val="none"/>
          <w:vertAlign w:val="superscript"/>
        </w:rPr>
        <w:t>3</w:t>
      </w:r>
      <w:r>
        <w:rPr>
          <w:rFonts w:hint="eastAsia" w:ascii="宋体"/>
          <w:color w:val="auto"/>
          <w:highlight w:val="none"/>
        </w:rPr>
        <w:t>。</w:t>
      </w:r>
    </w:p>
    <w:bookmarkEnd w:id="6"/>
    <w:bookmarkEnd w:id="7"/>
    <w:bookmarkEnd w:id="8"/>
    <w:bookmarkEnd w:id="9"/>
    <w:bookmarkEnd w:id="10"/>
    <w:p w14:paraId="65A41DA6">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21" w:name="_Toc7871"/>
      <w:r>
        <w:rPr>
          <w:rFonts w:hint="eastAsia"/>
          <w:color w:val="auto"/>
          <w:highlight w:val="none"/>
        </w:rPr>
        <w:t>第四章 评价单元划分与评价方法选择</w:t>
      </w:r>
    </w:p>
    <w:p w14:paraId="61D2A097">
      <w:pPr>
        <w:pStyle w:val="3"/>
        <w:spacing w:before="312" w:beforeLines="100" w:after="312" w:afterLines="100" w:line="360" w:lineRule="auto"/>
        <w:ind w:firstLine="0"/>
        <w:rPr>
          <w:rFonts w:hint="eastAsia"/>
          <w:color w:val="auto"/>
          <w:highlight w:val="none"/>
        </w:rPr>
      </w:pPr>
      <w:bookmarkStart w:id="22" w:name="_Toc272364536"/>
      <w:bookmarkStart w:id="23" w:name="_Toc12643"/>
      <w:bookmarkStart w:id="24" w:name="_Toc192907201"/>
      <w:bookmarkStart w:id="25" w:name="_Toc102634407"/>
      <w:bookmarkStart w:id="26" w:name="_Toc23543"/>
      <w:bookmarkStart w:id="27" w:name="_Toc238007574"/>
      <w:bookmarkStart w:id="28" w:name="_Toc198026273"/>
      <w:bookmarkStart w:id="29" w:name="_Toc102633907"/>
      <w:bookmarkStart w:id="30" w:name="_Toc102633981"/>
      <w:bookmarkStart w:id="31" w:name="_Toc15033754"/>
      <w:bookmarkStart w:id="32" w:name="_Toc7829"/>
      <w:bookmarkStart w:id="33" w:name="_Toc102634256"/>
      <w:r>
        <w:rPr>
          <w:rFonts w:hint="eastAsia"/>
          <w:color w:val="auto"/>
          <w:highlight w:val="none"/>
        </w:rPr>
        <w:t>第一节 评价单元的划分</w:t>
      </w:r>
      <w:bookmarkEnd w:id="22"/>
      <w:bookmarkEnd w:id="23"/>
      <w:bookmarkEnd w:id="24"/>
      <w:bookmarkEnd w:id="25"/>
      <w:bookmarkEnd w:id="26"/>
      <w:bookmarkEnd w:id="27"/>
      <w:bookmarkEnd w:id="28"/>
      <w:bookmarkEnd w:id="29"/>
      <w:bookmarkEnd w:id="30"/>
      <w:bookmarkEnd w:id="31"/>
      <w:bookmarkEnd w:id="32"/>
      <w:bookmarkEnd w:id="33"/>
    </w:p>
    <w:p w14:paraId="5EB359F7">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77ABA113">
      <w:pPr>
        <w:pStyle w:val="22"/>
        <w:widowControl w:val="0"/>
        <w:adjustRightInd w:val="0"/>
        <w:snapToGrid w:val="0"/>
        <w:spacing w:line="360" w:lineRule="auto"/>
        <w:ind w:firstLine="560"/>
        <w:jc w:val="both"/>
        <w:rPr>
          <w:color w:val="auto"/>
          <w:highlight w:val="none"/>
        </w:rPr>
      </w:pPr>
      <w:bookmarkStart w:id="34" w:name="_Toc102634257"/>
      <w:r>
        <w:rPr>
          <w:rFonts w:hint="eastAsia"/>
          <w:color w:val="auto"/>
          <w:highlight w:val="none"/>
        </w:rPr>
        <w:t>一</w:t>
      </w:r>
      <w:r>
        <w:rPr>
          <w:color w:val="auto"/>
          <w:highlight w:val="none"/>
        </w:rPr>
        <w:t>、以危险有害因素的类别为主划分评价单元</w:t>
      </w:r>
      <w:bookmarkEnd w:id="34"/>
    </w:p>
    <w:p w14:paraId="197EFD0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78A4B32B">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10DCC251">
      <w:pPr>
        <w:pStyle w:val="22"/>
        <w:widowControl w:val="0"/>
        <w:adjustRightInd w:val="0"/>
        <w:snapToGrid w:val="0"/>
        <w:spacing w:line="360" w:lineRule="auto"/>
        <w:ind w:firstLine="560"/>
        <w:jc w:val="both"/>
        <w:rPr>
          <w:color w:val="auto"/>
          <w:highlight w:val="none"/>
        </w:rPr>
      </w:pPr>
      <w:bookmarkStart w:id="35" w:name="_Toc102634258"/>
      <w:r>
        <w:rPr>
          <w:rFonts w:hint="eastAsia"/>
          <w:color w:val="auto"/>
          <w:highlight w:val="none"/>
        </w:rPr>
        <w:t>二</w:t>
      </w:r>
      <w:r>
        <w:rPr>
          <w:color w:val="auto"/>
          <w:highlight w:val="none"/>
        </w:rPr>
        <w:t>、以物质特征划分评价单元</w:t>
      </w:r>
      <w:bookmarkEnd w:id="35"/>
    </w:p>
    <w:p w14:paraId="14FBCB2A">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4E4F100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640FB945">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3C8F69FF">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77032F50">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044F23D6">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6772D288">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047F9112">
      <w:pPr>
        <w:pStyle w:val="3"/>
        <w:spacing w:before="312" w:beforeLines="100" w:after="312" w:afterLines="100" w:line="360" w:lineRule="auto"/>
        <w:ind w:firstLine="0"/>
        <w:rPr>
          <w:rFonts w:hint="eastAsia"/>
          <w:color w:val="auto"/>
          <w:highlight w:val="none"/>
        </w:rPr>
      </w:pPr>
      <w:bookmarkStart w:id="36" w:name="_Toc102633908"/>
      <w:bookmarkStart w:id="37" w:name="_Toc22810"/>
      <w:bookmarkStart w:id="38" w:name="_Toc102633982"/>
      <w:bookmarkStart w:id="39" w:name="_Toc102634259"/>
      <w:bookmarkStart w:id="40" w:name="_Toc102634408"/>
    </w:p>
    <w:p w14:paraId="29B9BC3E">
      <w:pPr>
        <w:pStyle w:val="3"/>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6"/>
      <w:bookmarkEnd w:id="37"/>
      <w:bookmarkEnd w:id="38"/>
      <w:bookmarkEnd w:id="39"/>
      <w:bookmarkEnd w:id="40"/>
    </w:p>
    <w:p w14:paraId="48573425">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029BFC2">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5297F5BF">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宁阳第十八加油站</w:t>
      </w:r>
      <w:r>
        <w:rPr>
          <w:rFonts w:ascii="宋体"/>
          <w:color w:val="auto"/>
          <w:highlight w:val="none"/>
        </w:rPr>
        <w:t>的具体情况，选用安全检查表、事故树法及危险度评价法对加油站进行评价。具体应用如下表所示：</w:t>
      </w:r>
    </w:p>
    <w:p w14:paraId="1B6D006C">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0915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F4F61D2">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7CA33F94">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08A0FA9A">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5DE72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62B652A3">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7A5EC061">
            <w:pPr>
              <w:pStyle w:val="20"/>
              <w:widowControl w:val="0"/>
              <w:adjustRightInd w:val="0"/>
              <w:snapToGrid w:val="0"/>
              <w:spacing w:line="360" w:lineRule="auto"/>
              <w:rPr>
                <w:rFonts w:ascii="宋体"/>
                <w:b/>
                <w:color w:val="auto"/>
                <w:highlight w:val="none"/>
              </w:rPr>
            </w:pPr>
          </w:p>
        </w:tc>
        <w:tc>
          <w:tcPr>
            <w:tcW w:w="1196" w:type="pct"/>
            <w:vAlign w:val="center"/>
          </w:tcPr>
          <w:p w14:paraId="6FAE170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658FC63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21C13B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7BB0B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1E5CC7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0712D971">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7F51FDC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0A8C1E71">
            <w:pPr>
              <w:pStyle w:val="20"/>
              <w:widowControl w:val="0"/>
              <w:adjustRightInd w:val="0"/>
              <w:snapToGrid w:val="0"/>
              <w:spacing w:line="360" w:lineRule="auto"/>
              <w:rPr>
                <w:rFonts w:ascii="宋体"/>
                <w:color w:val="auto"/>
                <w:highlight w:val="none"/>
              </w:rPr>
            </w:pPr>
          </w:p>
        </w:tc>
        <w:tc>
          <w:tcPr>
            <w:tcW w:w="972" w:type="pct"/>
            <w:vAlign w:val="center"/>
          </w:tcPr>
          <w:p w14:paraId="4840BB20">
            <w:pPr>
              <w:pStyle w:val="20"/>
              <w:widowControl w:val="0"/>
              <w:adjustRightInd w:val="0"/>
              <w:snapToGrid w:val="0"/>
              <w:spacing w:line="360" w:lineRule="auto"/>
              <w:rPr>
                <w:rFonts w:ascii="宋体"/>
                <w:color w:val="auto"/>
                <w:highlight w:val="none"/>
              </w:rPr>
            </w:pPr>
          </w:p>
        </w:tc>
      </w:tr>
      <w:tr w14:paraId="5420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E2C3AB9">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7A9F661A">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5AA7D8C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AF1F11F">
            <w:pPr>
              <w:pStyle w:val="20"/>
              <w:widowControl w:val="0"/>
              <w:adjustRightInd w:val="0"/>
              <w:snapToGrid w:val="0"/>
              <w:spacing w:line="360" w:lineRule="auto"/>
              <w:rPr>
                <w:rFonts w:ascii="宋体"/>
                <w:color w:val="auto"/>
                <w:highlight w:val="none"/>
              </w:rPr>
            </w:pPr>
          </w:p>
        </w:tc>
        <w:tc>
          <w:tcPr>
            <w:tcW w:w="972" w:type="pct"/>
            <w:vAlign w:val="center"/>
          </w:tcPr>
          <w:p w14:paraId="0D4E9B01">
            <w:pPr>
              <w:pStyle w:val="20"/>
              <w:widowControl w:val="0"/>
              <w:adjustRightInd w:val="0"/>
              <w:snapToGrid w:val="0"/>
              <w:spacing w:line="360" w:lineRule="auto"/>
              <w:rPr>
                <w:rFonts w:ascii="宋体"/>
                <w:color w:val="auto"/>
                <w:highlight w:val="none"/>
              </w:rPr>
            </w:pPr>
          </w:p>
        </w:tc>
      </w:tr>
      <w:tr w14:paraId="1282E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911BF85">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73F04EA">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24B22247">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46EF27D7">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C60F0A">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77699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A3EA8F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77485E69">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0298180F">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6FADA09E">
            <w:pPr>
              <w:pStyle w:val="20"/>
              <w:widowControl w:val="0"/>
              <w:adjustRightInd w:val="0"/>
              <w:snapToGrid w:val="0"/>
              <w:spacing w:line="360" w:lineRule="auto"/>
              <w:rPr>
                <w:rFonts w:ascii="宋体"/>
                <w:color w:val="auto"/>
                <w:highlight w:val="none"/>
              </w:rPr>
            </w:pPr>
          </w:p>
        </w:tc>
        <w:tc>
          <w:tcPr>
            <w:tcW w:w="972" w:type="pct"/>
            <w:vAlign w:val="center"/>
          </w:tcPr>
          <w:p w14:paraId="09850573">
            <w:pPr>
              <w:pStyle w:val="20"/>
              <w:widowControl w:val="0"/>
              <w:adjustRightInd w:val="0"/>
              <w:snapToGrid w:val="0"/>
              <w:spacing w:line="360" w:lineRule="auto"/>
              <w:rPr>
                <w:rFonts w:ascii="宋体"/>
                <w:color w:val="auto"/>
                <w:highlight w:val="none"/>
              </w:rPr>
            </w:pPr>
          </w:p>
        </w:tc>
      </w:tr>
    </w:tbl>
    <w:p w14:paraId="1A268EDF">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4C78DC35">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第六章  安全对策措施及建议</w:t>
      </w:r>
      <w:bookmarkEnd w:id="21"/>
    </w:p>
    <w:p w14:paraId="4AD02A51">
      <w:pPr>
        <w:pStyle w:val="3"/>
        <w:spacing w:before="312" w:beforeLines="100" w:after="312" w:afterLines="100" w:line="360" w:lineRule="auto"/>
        <w:ind w:firstLine="0"/>
        <w:rPr>
          <w:rFonts w:hint="eastAsia"/>
          <w:color w:val="auto"/>
          <w:highlight w:val="none"/>
        </w:rPr>
      </w:pPr>
      <w:bookmarkStart w:id="41" w:name="_Toc225046264"/>
      <w:bookmarkStart w:id="42" w:name="_Toc339456079"/>
      <w:bookmarkStart w:id="43" w:name="_Toc15033762"/>
      <w:bookmarkStart w:id="44" w:name="_Toc102633915"/>
      <w:bookmarkStart w:id="45" w:name="_Toc4961"/>
      <w:bookmarkStart w:id="46" w:name="_Toc348877039"/>
      <w:bookmarkStart w:id="47" w:name="_Toc102634277"/>
      <w:bookmarkStart w:id="48" w:name="_Toc242065302"/>
      <w:bookmarkStart w:id="49" w:name="_Toc102634415"/>
      <w:bookmarkStart w:id="50" w:name="_Toc2607"/>
      <w:bookmarkStart w:id="51" w:name="_Toc102633989"/>
      <w:r>
        <w:rPr>
          <w:rFonts w:hint="eastAsia"/>
          <w:color w:val="auto"/>
          <w:highlight w:val="none"/>
        </w:rPr>
        <w:t xml:space="preserve">第一节 </w:t>
      </w:r>
      <w:bookmarkEnd w:id="41"/>
      <w:bookmarkEnd w:id="42"/>
      <w:r>
        <w:rPr>
          <w:rFonts w:hint="eastAsia"/>
          <w:color w:val="auto"/>
          <w:highlight w:val="none"/>
        </w:rPr>
        <w:t>存在的问题及整改建议</w:t>
      </w:r>
      <w:bookmarkEnd w:id="43"/>
      <w:bookmarkEnd w:id="44"/>
      <w:bookmarkEnd w:id="45"/>
      <w:bookmarkEnd w:id="46"/>
      <w:bookmarkEnd w:id="47"/>
      <w:bookmarkEnd w:id="48"/>
      <w:bookmarkEnd w:id="49"/>
      <w:bookmarkEnd w:id="50"/>
      <w:bookmarkEnd w:id="51"/>
    </w:p>
    <w:p w14:paraId="547E0821">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52" w:name="_Toc49590281"/>
      <w:bookmarkStart w:id="53"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52"/>
      <w:bookmarkEnd w:id="53"/>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56E08C37">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4028CE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5FCFDA3A">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04DB8B18">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490C1D56">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5AFA6D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D97B71">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385437CB">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c>
          <w:tcPr>
            <w:tcW w:w="4740" w:type="dxa"/>
            <w:shd w:val="clear" w:color="auto" w:fill="auto"/>
            <w:vAlign w:val="center"/>
          </w:tcPr>
          <w:p w14:paraId="6ABF3585">
            <w:pPr>
              <w:jc w:val="center"/>
              <w:rPr>
                <w:rFonts w:hint="default" w:ascii="Times New Roman" w:hAnsi="Times New Roman" w:eastAsia="宋体" w:cs="Times New Roman"/>
                <w:color w:val="auto"/>
                <w:kern w:val="2"/>
                <w:sz w:val="21"/>
                <w:szCs w:val="21"/>
                <w:highlight w:val="none"/>
                <w:u w:color="000000"/>
                <w:lang w:val="en-US" w:eastAsia="zh-CN" w:bidi="ar-SA"/>
              </w:rPr>
            </w:pPr>
            <w:r>
              <w:rPr>
                <w:rFonts w:hint="eastAsia" w:cs="Times New Roman"/>
                <w:color w:val="auto"/>
                <w:kern w:val="2"/>
                <w:sz w:val="21"/>
                <w:szCs w:val="21"/>
                <w:highlight w:val="none"/>
                <w:u w:color="000000"/>
                <w:lang w:val="en-US" w:eastAsia="zh-CN" w:bidi="ar-SA"/>
              </w:rPr>
              <w:t>无</w:t>
            </w:r>
          </w:p>
        </w:tc>
      </w:tr>
    </w:tbl>
    <w:p w14:paraId="62507803">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36A12424">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2C3BE150">
      <w:pPr>
        <w:pStyle w:val="8"/>
      </w:pPr>
    </w:p>
    <w:p w14:paraId="2833A7DA"/>
    <w:p w14:paraId="05B1164E">
      <w:pPr>
        <w:pStyle w:val="2"/>
      </w:pPr>
    </w:p>
    <w:p w14:paraId="6B771808">
      <w:pPr>
        <w:pStyle w:val="2"/>
      </w:pPr>
    </w:p>
    <w:p w14:paraId="6D61FD44">
      <w:pPr>
        <w:pStyle w:val="2"/>
      </w:pPr>
    </w:p>
    <w:p w14:paraId="1BEBDF68">
      <w:pPr>
        <w:pStyle w:val="2"/>
      </w:pPr>
    </w:p>
    <w:p w14:paraId="6285F37B">
      <w:pPr>
        <w:pStyle w:val="2"/>
      </w:pPr>
    </w:p>
    <w:p w14:paraId="38A2EAEF">
      <w:pPr>
        <w:pStyle w:val="2"/>
      </w:pPr>
    </w:p>
    <w:p w14:paraId="7241BBB9">
      <w:pPr>
        <w:pStyle w:val="2"/>
      </w:pPr>
    </w:p>
    <w:p w14:paraId="08015EC7">
      <w:pPr>
        <w:pStyle w:val="2"/>
      </w:pPr>
      <w:bookmarkStart w:id="54" w:name="_GoBack"/>
      <w:bookmarkEnd w:id="54"/>
    </w:p>
    <w:p w14:paraId="305F7577">
      <w:pPr>
        <w:jc w:val="center"/>
        <w:rPr>
          <w:rFonts w:hint="eastAsia"/>
          <w:sz w:val="28"/>
          <w:szCs w:val="28"/>
          <w:lang w:val="en-US" w:eastAsia="zh-CN"/>
        </w:rPr>
      </w:pPr>
    </w:p>
    <w:p w14:paraId="010B4A5F">
      <w:pPr>
        <w:rPr>
          <w:rFonts w:hint="default"/>
          <w:lang w:val="en-US" w:eastAsia="zh-CN"/>
        </w:rPr>
      </w:pPr>
      <w:r>
        <w:rPr>
          <w:rFonts w:hint="default"/>
          <w:lang w:val="en-US" w:eastAsia="zh-CN"/>
        </w:rPr>
        <w:drawing>
          <wp:inline distT="0" distB="0" distL="114300" distR="114300">
            <wp:extent cx="2835910" cy="2127250"/>
            <wp:effectExtent l="0" t="0" r="2540" b="6350"/>
            <wp:docPr id="5" name="图片 5" descr="IMG_20250328_11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328_112843"/>
                    <pic:cNvPicPr>
                      <a:picLocks noChangeAspect="1"/>
                    </pic:cNvPicPr>
                  </pic:nvPicPr>
                  <pic:blipFill>
                    <a:blip r:embed="rId4"/>
                    <a:stretch>
                      <a:fillRect/>
                    </a:stretch>
                  </pic:blipFill>
                  <pic:spPr>
                    <a:xfrm>
                      <a:off x="0" y="0"/>
                      <a:ext cx="2835910" cy="2127250"/>
                    </a:xfrm>
                    <a:prstGeom prst="rect">
                      <a:avLst/>
                    </a:prstGeom>
                  </pic:spPr>
                </pic:pic>
              </a:graphicData>
            </a:graphic>
          </wp:inline>
        </w:drawing>
      </w:r>
      <w:r>
        <w:rPr>
          <w:rFonts w:hint="default"/>
          <w:lang w:val="en-US" w:eastAsia="zh-CN"/>
        </w:rPr>
        <w:drawing>
          <wp:inline distT="0" distB="0" distL="114300" distR="114300">
            <wp:extent cx="2835910" cy="2127250"/>
            <wp:effectExtent l="0" t="0" r="2540" b="6350"/>
            <wp:docPr id="6" name="图片 6" descr="IMG_20250328_11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0328_112932"/>
                    <pic:cNvPicPr>
                      <a:picLocks noChangeAspect="1"/>
                    </pic:cNvPicPr>
                  </pic:nvPicPr>
                  <pic:blipFill>
                    <a:blip r:embed="rId5"/>
                    <a:stretch>
                      <a:fillRect/>
                    </a:stretch>
                  </pic:blipFill>
                  <pic:spPr>
                    <a:xfrm>
                      <a:off x="0" y="0"/>
                      <a:ext cx="2835910" cy="2127250"/>
                    </a:xfrm>
                    <a:prstGeom prst="rect">
                      <a:avLst/>
                    </a:prstGeom>
                  </pic:spPr>
                </pic:pic>
              </a:graphicData>
            </a:graphic>
          </wp:inline>
        </w:drawing>
      </w:r>
      <w:r>
        <w:rPr>
          <w:rFonts w:hint="default"/>
          <w:lang w:val="en-US" w:eastAsia="zh-CN"/>
        </w:rPr>
        <w:drawing>
          <wp:inline distT="0" distB="0" distL="114300" distR="114300">
            <wp:extent cx="2499995" cy="4445635"/>
            <wp:effectExtent l="0" t="0" r="14605" b="12065"/>
            <wp:docPr id="1" name="图片 1" descr="077c8a62aa430246ae632d960e7a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7c8a62aa430246ae632d960e7a79e"/>
                    <pic:cNvPicPr>
                      <a:picLocks noChangeAspect="1"/>
                    </pic:cNvPicPr>
                  </pic:nvPicPr>
                  <pic:blipFill>
                    <a:blip r:embed="rId6"/>
                    <a:stretch>
                      <a:fillRect/>
                    </a:stretch>
                  </pic:blipFill>
                  <pic:spPr>
                    <a:xfrm>
                      <a:off x="0" y="0"/>
                      <a:ext cx="2499995" cy="4445635"/>
                    </a:xfrm>
                    <a:prstGeom prst="rect">
                      <a:avLst/>
                    </a:prstGeom>
                  </pic:spPr>
                </pic:pic>
              </a:graphicData>
            </a:graphic>
          </wp:inline>
        </w:drawing>
      </w:r>
      <w:r>
        <w:rPr>
          <w:rFonts w:hint="default"/>
          <w:lang w:val="en-US" w:eastAsia="zh-CN"/>
        </w:rPr>
        <w:drawing>
          <wp:inline distT="0" distB="0" distL="114300" distR="114300">
            <wp:extent cx="2529840" cy="4497705"/>
            <wp:effectExtent l="0" t="0" r="3810" b="17145"/>
            <wp:docPr id="2" name="图片 2" descr="e608a17d7500279c0cee55daeb82f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608a17d7500279c0cee55daeb82f45"/>
                    <pic:cNvPicPr>
                      <a:picLocks noChangeAspect="1"/>
                    </pic:cNvPicPr>
                  </pic:nvPicPr>
                  <pic:blipFill>
                    <a:blip r:embed="rId7"/>
                    <a:stretch>
                      <a:fillRect/>
                    </a:stretch>
                  </pic:blipFill>
                  <pic:spPr>
                    <a:xfrm>
                      <a:off x="0" y="0"/>
                      <a:ext cx="2529840" cy="4497705"/>
                    </a:xfrm>
                    <a:prstGeom prst="rect">
                      <a:avLst/>
                    </a:prstGeom>
                  </pic:spPr>
                </pic:pic>
              </a:graphicData>
            </a:graphic>
          </wp:inline>
        </w:drawing>
      </w:r>
      <w:r>
        <w:rPr>
          <w:rFonts w:hint="default"/>
          <w:lang w:val="en-US" w:eastAsia="zh-CN"/>
        </w:rPr>
        <w:drawing>
          <wp:inline distT="0" distB="0" distL="114300" distR="114300">
            <wp:extent cx="2529840" cy="4497705"/>
            <wp:effectExtent l="0" t="0" r="3810" b="17145"/>
            <wp:docPr id="3" name="图片 3" descr="84daac4db6c86b798a804534d391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daac4db6c86b798a804534d391e8a"/>
                    <pic:cNvPicPr>
                      <a:picLocks noChangeAspect="1"/>
                    </pic:cNvPicPr>
                  </pic:nvPicPr>
                  <pic:blipFill>
                    <a:blip r:embed="rId8"/>
                    <a:stretch>
                      <a:fillRect/>
                    </a:stretch>
                  </pic:blipFill>
                  <pic:spPr>
                    <a:xfrm>
                      <a:off x="0" y="0"/>
                      <a:ext cx="2529840" cy="4497705"/>
                    </a:xfrm>
                    <a:prstGeom prst="rect">
                      <a:avLst/>
                    </a:prstGeom>
                  </pic:spPr>
                </pic:pic>
              </a:graphicData>
            </a:graphic>
          </wp:inline>
        </w:drawing>
      </w:r>
      <w:r>
        <w:rPr>
          <w:rFonts w:hint="default"/>
          <w:lang w:val="en-US" w:eastAsia="zh-CN"/>
        </w:rPr>
        <w:drawing>
          <wp:inline distT="0" distB="0" distL="114300" distR="114300">
            <wp:extent cx="2934335" cy="1815465"/>
            <wp:effectExtent l="0" t="0" r="13335" b="18415"/>
            <wp:docPr id="4" name="图片 4" descr="74dbe5449d05b414f7e63199f710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4dbe5449d05b414f7e63199f710cc0"/>
                    <pic:cNvPicPr>
                      <a:picLocks noChangeAspect="1"/>
                    </pic:cNvPicPr>
                  </pic:nvPicPr>
                  <pic:blipFill>
                    <a:blip r:embed="rId9"/>
                    <a:stretch>
                      <a:fillRect/>
                    </a:stretch>
                  </pic:blipFill>
                  <pic:spPr>
                    <a:xfrm rot="5400000">
                      <a:off x="0" y="0"/>
                      <a:ext cx="2934335" cy="1815465"/>
                    </a:xfrm>
                    <a:prstGeom prst="rect">
                      <a:avLst/>
                    </a:prstGeom>
                  </pic:spPr>
                </pic:pic>
              </a:graphicData>
            </a:graphic>
          </wp:inline>
        </w:drawing>
      </w:r>
      <w:r>
        <w:rPr>
          <w:rFonts w:hint="default"/>
          <w:lang w:val="en-US" w:eastAsia="zh-CN"/>
        </w:rPr>
        <w:drawing>
          <wp:inline distT="0" distB="0" distL="114300" distR="114300">
            <wp:extent cx="2498725" cy="4442460"/>
            <wp:effectExtent l="0" t="0" r="15875" b="15240"/>
            <wp:docPr id="7" name="图片 7" descr="216cd92b7e015d61d9460a9f7c61c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6cd92b7e015d61d9460a9f7c61cf5"/>
                    <pic:cNvPicPr>
                      <a:picLocks noChangeAspect="1"/>
                    </pic:cNvPicPr>
                  </pic:nvPicPr>
                  <pic:blipFill>
                    <a:blip r:embed="rId10"/>
                    <a:stretch>
                      <a:fillRect/>
                    </a:stretch>
                  </pic:blipFill>
                  <pic:spPr>
                    <a:xfrm>
                      <a:off x="0" y="0"/>
                      <a:ext cx="2498725" cy="4442460"/>
                    </a:xfrm>
                    <a:prstGeom prst="rect">
                      <a:avLst/>
                    </a:prstGeom>
                  </pic:spPr>
                </pic:pic>
              </a:graphicData>
            </a:graphic>
          </wp:inline>
        </w:drawing>
      </w:r>
      <w:r>
        <w:rPr>
          <w:rFonts w:hint="default"/>
          <w:lang w:val="en-US" w:eastAsia="zh-CN"/>
        </w:rPr>
        <w:drawing>
          <wp:inline distT="0" distB="0" distL="114300" distR="114300">
            <wp:extent cx="2515235" cy="4472305"/>
            <wp:effectExtent l="0" t="0" r="18415" b="4445"/>
            <wp:docPr id="8" name="图片 8" descr="dcc93aa8405ece2187e467045f8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cc93aa8405ece2187e467045f84322"/>
                    <pic:cNvPicPr>
                      <a:picLocks noChangeAspect="1"/>
                    </pic:cNvPicPr>
                  </pic:nvPicPr>
                  <pic:blipFill>
                    <a:blip r:embed="rId11"/>
                    <a:stretch>
                      <a:fillRect/>
                    </a:stretch>
                  </pic:blipFill>
                  <pic:spPr>
                    <a:xfrm>
                      <a:off x="0" y="0"/>
                      <a:ext cx="2515235" cy="447230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53C4810"/>
    <w:rsid w:val="16BC1C2B"/>
    <w:rsid w:val="17413CA5"/>
    <w:rsid w:val="1C4A2E55"/>
    <w:rsid w:val="1DE92E23"/>
    <w:rsid w:val="1E1E483E"/>
    <w:rsid w:val="1FF73CD4"/>
    <w:rsid w:val="22CB7136"/>
    <w:rsid w:val="2369609F"/>
    <w:rsid w:val="27B50F13"/>
    <w:rsid w:val="284F788D"/>
    <w:rsid w:val="2A9D36CA"/>
    <w:rsid w:val="2E5E68CC"/>
    <w:rsid w:val="2EC41433"/>
    <w:rsid w:val="2F917EEC"/>
    <w:rsid w:val="30A505EB"/>
    <w:rsid w:val="31297B3A"/>
    <w:rsid w:val="334F09C6"/>
    <w:rsid w:val="33DD1B5F"/>
    <w:rsid w:val="355F439E"/>
    <w:rsid w:val="35CC29B8"/>
    <w:rsid w:val="361E3E5D"/>
    <w:rsid w:val="37A6654A"/>
    <w:rsid w:val="38B36882"/>
    <w:rsid w:val="3BB85D78"/>
    <w:rsid w:val="3C176B62"/>
    <w:rsid w:val="420C1409"/>
    <w:rsid w:val="43CB4C37"/>
    <w:rsid w:val="4706325F"/>
    <w:rsid w:val="47290367"/>
    <w:rsid w:val="48FE4AE5"/>
    <w:rsid w:val="4ECC7680"/>
    <w:rsid w:val="4F5D6EDB"/>
    <w:rsid w:val="537F016A"/>
    <w:rsid w:val="54D564A0"/>
    <w:rsid w:val="563D798B"/>
    <w:rsid w:val="567C6788"/>
    <w:rsid w:val="579A241E"/>
    <w:rsid w:val="58840D76"/>
    <w:rsid w:val="5C8B1D2D"/>
    <w:rsid w:val="5D511379"/>
    <w:rsid w:val="5DC2177E"/>
    <w:rsid w:val="60FB542C"/>
    <w:rsid w:val="636808F8"/>
    <w:rsid w:val="64FD4259"/>
    <w:rsid w:val="6A640607"/>
    <w:rsid w:val="6AD40467"/>
    <w:rsid w:val="6B3179BA"/>
    <w:rsid w:val="6BF95CAB"/>
    <w:rsid w:val="6C4D48B3"/>
    <w:rsid w:val="6C7D54EF"/>
    <w:rsid w:val="6D0669CA"/>
    <w:rsid w:val="6FDF53A7"/>
    <w:rsid w:val="717A11AE"/>
    <w:rsid w:val="71A86FA5"/>
    <w:rsid w:val="72AF4765"/>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sz w:val="24"/>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2920</Words>
  <Characters>3187</Characters>
  <Lines>0</Lines>
  <Paragraphs>0</Paragraphs>
  <TotalTime>2</TotalTime>
  <ScaleCrop>false</ScaleCrop>
  <LinksUpToDate>false</LinksUpToDate>
  <CharactersWithSpaces>3203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2025-05-22T07:31:09Z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