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肥城市汶阳</w:t>
      </w:r>
      <w:r>
        <w:rPr>
          <w:rFonts w:hint="eastAsia" w:ascii="黑体" w:hAnsi="黑体" w:eastAsia="黑体" w:cs="黑体"/>
          <w:spacing w:val="-1"/>
          <w:sz w:val="28"/>
          <w:szCs w:val="28"/>
          <w:lang w:eastAsia="zh-CN"/>
        </w:rPr>
        <w:t>加油站</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9"/>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8"/>
              <w:spacing w:before="213" w:line="228" w:lineRule="auto"/>
              <w:ind w:left="120"/>
            </w:pPr>
            <w:r>
              <w:rPr>
                <w:spacing w:val="6"/>
              </w:rPr>
              <w:t>项目名称</w:t>
            </w:r>
          </w:p>
        </w:tc>
        <w:tc>
          <w:tcPr>
            <w:tcW w:w="7774" w:type="dxa"/>
            <w:gridSpan w:val="4"/>
            <w:vAlign w:val="center"/>
          </w:tcPr>
          <w:p w14:paraId="50A5A161">
            <w:pPr>
              <w:pStyle w:val="8"/>
              <w:spacing w:before="57" w:line="261" w:lineRule="auto"/>
              <w:ind w:right="318"/>
              <w:jc w:val="center"/>
            </w:pPr>
            <w:r>
              <w:rPr>
                <w:rFonts w:hint="eastAsia"/>
                <w:spacing w:val="9"/>
                <w:lang w:val="en-US" w:eastAsia="zh-CN"/>
              </w:rPr>
              <w:t>肥城市汶阳</w:t>
            </w:r>
            <w:r>
              <w:rPr>
                <w:rFonts w:hint="eastAsia"/>
                <w:spacing w:val="9"/>
                <w:lang w:eastAsia="zh-CN"/>
              </w:rPr>
              <w:t>加油站</w:t>
            </w: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8"/>
              <w:spacing w:before="65" w:line="227" w:lineRule="auto"/>
              <w:ind w:left="120"/>
            </w:pPr>
            <w:r>
              <w:rPr>
                <w:spacing w:val="6"/>
              </w:rPr>
              <w:t>项目简介</w:t>
            </w:r>
          </w:p>
        </w:tc>
        <w:tc>
          <w:tcPr>
            <w:tcW w:w="7774" w:type="dxa"/>
            <w:gridSpan w:val="4"/>
            <w:vAlign w:val="top"/>
          </w:tcPr>
          <w:p w14:paraId="78F588C6">
            <w:pPr>
              <w:pStyle w:val="8"/>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w:t>
            </w:r>
            <w:r>
              <w:rPr>
                <w:rFonts w:hint="eastAsia" w:ascii="宋体" w:hAnsi="宋体" w:eastAsia="宋体" w:cs="宋体"/>
                <w:lang w:val="en-US" w:eastAsia="zh-CN"/>
              </w:rPr>
              <w:t>站房</w:t>
            </w:r>
            <w:r>
              <w:rPr>
                <w:rFonts w:hint="eastAsia" w:ascii="宋体" w:hAnsi="宋体" w:eastAsia="宋体" w:cs="宋体"/>
                <w:lang w:eastAsia="zh-CN"/>
              </w:rPr>
              <w:t>、油罐区、加油区等。</w:t>
            </w:r>
            <w:r>
              <w:rPr>
                <w:rFonts w:hint="eastAsia" w:ascii="宋体" w:hAnsi="宋体" w:eastAsia="宋体" w:cs="宋体"/>
                <w:lang w:val="en-US" w:eastAsia="zh-CN"/>
              </w:rPr>
              <w:t>站房</w:t>
            </w:r>
            <w:r>
              <w:rPr>
                <w:rFonts w:hint="eastAsia" w:ascii="宋体" w:hAnsi="宋体" w:eastAsia="宋体" w:cs="宋体"/>
                <w:lang w:eastAsia="zh-CN"/>
              </w:rPr>
              <w:t>在加</w:t>
            </w:r>
            <w:r>
              <w:rPr>
                <w:rFonts w:hint="eastAsia" w:ascii="宋体" w:hAnsi="宋体" w:eastAsia="宋体" w:cs="宋体"/>
                <w:lang w:val="en-US" w:eastAsia="zh-CN"/>
              </w:rPr>
              <w:t>油区西</w:t>
            </w:r>
            <w:r>
              <w:rPr>
                <w:rFonts w:hint="eastAsia" w:ascii="宋体" w:hAnsi="宋体" w:eastAsia="宋体" w:cs="宋体"/>
                <w:lang w:eastAsia="zh-CN"/>
              </w:rPr>
              <w:t>侧，</w:t>
            </w:r>
            <w:r>
              <w:rPr>
                <w:rFonts w:hint="eastAsia" w:ascii="宋体" w:hAnsi="宋体" w:eastAsia="宋体" w:cs="宋体"/>
                <w:lang w:val="en-US" w:eastAsia="zh-CN"/>
              </w:rPr>
              <w:t>加油区</w:t>
            </w:r>
            <w:r>
              <w:rPr>
                <w:rFonts w:hint="eastAsia" w:ascii="宋体" w:hAnsi="宋体" w:eastAsia="宋体" w:cs="宋体"/>
                <w:lang w:eastAsia="zh-CN"/>
              </w:rPr>
              <w:t>现有</w:t>
            </w:r>
            <w:r>
              <w:rPr>
                <w:rFonts w:hint="eastAsia" w:ascii="宋体" w:hAnsi="宋体" w:eastAsia="宋体" w:cs="宋体"/>
                <w:lang w:val="en-US" w:eastAsia="zh-CN"/>
              </w:rPr>
              <w:t>4台双枪加油机（其中3</w:t>
            </w:r>
            <w:r>
              <w:rPr>
                <w:rFonts w:hint="eastAsia" w:ascii="宋体" w:hAnsi="宋体" w:eastAsia="宋体" w:cs="宋体"/>
                <w:lang w:eastAsia="zh-CN"/>
              </w:rPr>
              <w:t>台</w:t>
            </w:r>
            <w:r>
              <w:rPr>
                <w:rFonts w:hint="eastAsia" w:ascii="宋体" w:hAnsi="宋体" w:eastAsia="宋体" w:cs="宋体"/>
                <w:lang w:val="en-US" w:eastAsia="zh-CN"/>
              </w:rPr>
              <w:t>双</w:t>
            </w:r>
            <w:r>
              <w:rPr>
                <w:rFonts w:hint="eastAsia" w:ascii="宋体" w:hAnsi="宋体" w:eastAsia="宋体" w:cs="宋体"/>
                <w:lang w:eastAsia="zh-CN"/>
              </w:rPr>
              <w:t>枪</w:t>
            </w:r>
            <w:r>
              <w:rPr>
                <w:rFonts w:hint="eastAsia" w:ascii="宋体" w:hAnsi="宋体" w:eastAsia="宋体" w:cs="宋体"/>
                <w:lang w:val="en-US" w:eastAsia="zh-CN"/>
              </w:rPr>
              <w:t>单油品</w:t>
            </w:r>
            <w:r>
              <w:rPr>
                <w:rFonts w:hint="eastAsia" w:ascii="宋体" w:hAnsi="宋体" w:eastAsia="宋体" w:cs="宋体"/>
                <w:lang w:eastAsia="zh-CN"/>
              </w:rPr>
              <w:t>加油机，</w:t>
            </w:r>
            <w:r>
              <w:rPr>
                <w:rFonts w:hint="eastAsia" w:ascii="宋体" w:hAnsi="宋体" w:eastAsia="宋体" w:cs="宋体"/>
                <w:lang w:val="en-US" w:eastAsia="zh-CN"/>
              </w:rPr>
              <w:t>1台双枪双油品加油机),其中1台柴油加油机暂时停用</w:t>
            </w:r>
            <w:r>
              <w:rPr>
                <w:rFonts w:hint="eastAsia" w:ascii="宋体" w:hAnsi="宋体" w:eastAsia="宋体" w:cs="宋体"/>
                <w:lang w:eastAsia="zh-CN"/>
              </w:rPr>
              <w:t>，</w:t>
            </w:r>
            <w:r>
              <w:rPr>
                <w:rFonts w:hint="eastAsia" w:ascii="宋体" w:hAnsi="宋体" w:eastAsia="宋体" w:cs="宋体"/>
                <w:lang w:val="en-US" w:eastAsia="zh-CN"/>
              </w:rPr>
              <w:t>均为潜油泵式</w:t>
            </w:r>
            <w:r>
              <w:rPr>
                <w:rFonts w:hint="eastAsia" w:ascii="宋体" w:hAnsi="宋体" w:eastAsia="宋体" w:cs="宋体"/>
                <w:lang w:eastAsia="zh-CN"/>
              </w:rPr>
              <w:t>；油罐区布置在站房</w:t>
            </w:r>
            <w:r>
              <w:rPr>
                <w:rFonts w:hint="eastAsia" w:ascii="宋体" w:hAnsi="宋体" w:eastAsia="宋体" w:cs="宋体"/>
                <w:lang w:val="en-US" w:eastAsia="zh-CN"/>
              </w:rPr>
              <w:t>南</w:t>
            </w:r>
            <w:r>
              <w:rPr>
                <w:rFonts w:hint="eastAsia" w:ascii="宋体" w:hAnsi="宋体" w:eastAsia="宋体" w:cs="宋体"/>
                <w:lang w:eastAsia="zh-CN"/>
              </w:rPr>
              <w:t>侧，</w:t>
            </w:r>
            <w:r>
              <w:rPr>
                <w:rFonts w:hint="eastAsia" w:ascii="宋体" w:hAnsi="宋体" w:eastAsia="宋体" w:cs="宋体"/>
                <w:lang w:val="en-US" w:eastAsia="zh-CN"/>
              </w:rPr>
              <w:t>其</w:t>
            </w:r>
            <w:r>
              <w:rPr>
                <w:rFonts w:hint="eastAsia" w:ascii="宋体" w:hAnsi="宋体" w:eastAsia="宋体" w:cs="宋体"/>
                <w:lang w:eastAsia="zh-CN"/>
              </w:rPr>
              <w:t>油罐</w:t>
            </w:r>
            <w:r>
              <w:rPr>
                <w:rFonts w:hint="eastAsia" w:ascii="宋体" w:hAnsi="宋体" w:eastAsia="宋体" w:cs="宋体"/>
                <w:lang w:val="en-US" w:eastAsia="zh-CN"/>
              </w:rPr>
              <w:t>采用卧式直埋（1</w:t>
            </w:r>
            <w:r>
              <w:rPr>
                <w:rFonts w:hint="eastAsia" w:ascii="宋体" w:hAnsi="宋体" w:eastAsia="宋体" w:cs="宋体"/>
                <w:lang w:eastAsia="zh-CN"/>
              </w:rPr>
              <w:t>台</w:t>
            </w:r>
            <w:r>
              <w:rPr>
                <w:rFonts w:hint="eastAsia" w:ascii="宋体" w:hAnsi="宋体" w:eastAsia="宋体" w:cs="宋体"/>
                <w:lang w:val="en-US" w:eastAsia="zh-CN"/>
              </w:rPr>
              <w:t>25</w:t>
            </w:r>
            <w:r>
              <w:rPr>
                <w:rFonts w:hint="eastAsia" w:ascii="宋体" w:hAnsi="宋体" w:eastAsia="宋体" w:cs="宋体"/>
                <w:lang w:eastAsia="zh-CN"/>
              </w:rPr>
              <w:t>m3</w:t>
            </w:r>
            <w:r>
              <w:rPr>
                <w:rFonts w:hint="eastAsia" w:ascii="宋体" w:hAnsi="宋体" w:eastAsia="宋体" w:cs="宋体"/>
                <w:lang w:val="en-US" w:eastAsia="zh-CN"/>
              </w:rPr>
              <w:t>92#</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20</w:t>
            </w:r>
            <w:r>
              <w:rPr>
                <w:rFonts w:hint="eastAsia" w:ascii="宋体" w:hAnsi="宋体" w:eastAsia="宋体" w:cs="宋体"/>
                <w:lang w:eastAsia="zh-CN"/>
              </w:rPr>
              <w:t>m3</w:t>
            </w:r>
            <w:r>
              <w:rPr>
                <w:rFonts w:hint="eastAsia" w:ascii="宋体" w:hAnsi="宋体" w:eastAsia="宋体" w:cs="宋体"/>
                <w:lang w:val="en-US" w:eastAsia="zh-CN"/>
              </w:rPr>
              <w:t>95#</w:t>
            </w:r>
            <w:r>
              <w:rPr>
                <w:rFonts w:hint="eastAsia" w:ascii="宋体" w:hAnsi="宋体" w:eastAsia="宋体" w:cs="宋体"/>
                <w:lang w:eastAsia="zh-CN"/>
              </w:rPr>
              <w:t>汽油罐、</w:t>
            </w:r>
            <w:r>
              <w:rPr>
                <w:rFonts w:hint="eastAsia" w:ascii="宋体" w:hAnsi="宋体" w:eastAsia="宋体" w:cs="宋体"/>
                <w:lang w:val="en-US" w:eastAsia="zh-CN"/>
              </w:rPr>
              <w:t>2</w:t>
            </w:r>
            <w:r>
              <w:rPr>
                <w:rFonts w:hint="eastAsia" w:ascii="宋体" w:hAnsi="宋体" w:eastAsia="宋体" w:cs="宋体"/>
                <w:lang w:eastAsia="zh-CN"/>
              </w:rPr>
              <w:t>台</w:t>
            </w:r>
            <w:r>
              <w:rPr>
                <w:rFonts w:hint="eastAsia" w:ascii="宋体" w:hAnsi="宋体" w:eastAsia="宋体" w:cs="宋体"/>
                <w:lang w:val="en-US" w:eastAsia="zh-CN"/>
              </w:rPr>
              <w:t>4</w:t>
            </w:r>
            <w:r>
              <w:rPr>
                <w:rFonts w:hint="eastAsia" w:ascii="宋体" w:hAnsi="宋体" w:eastAsia="宋体" w:cs="宋体"/>
                <w:lang w:eastAsia="zh-CN"/>
              </w:rPr>
              <w:t>0m3柴油罐），</w:t>
            </w:r>
            <w:r>
              <w:rPr>
                <w:rFonts w:hint="eastAsia" w:ascii="宋体" w:hAnsi="宋体" w:eastAsia="宋体" w:cs="宋体"/>
                <w:lang w:val="en-US" w:eastAsia="zh-CN"/>
              </w:rPr>
              <w:t>汽</w:t>
            </w:r>
            <w:r>
              <w:rPr>
                <w:rFonts w:hint="eastAsia" w:ascii="宋体" w:hAnsi="宋体" w:eastAsia="宋体" w:cs="宋体"/>
                <w:lang w:eastAsia="zh-CN"/>
              </w:rPr>
              <w:t>油、柴油卸油口均位于</w:t>
            </w:r>
            <w:r>
              <w:rPr>
                <w:rFonts w:hint="eastAsia" w:ascii="宋体" w:hAnsi="宋体" w:eastAsia="宋体" w:cs="宋体"/>
                <w:lang w:val="en-US" w:eastAsia="zh-CN"/>
              </w:rPr>
              <w:t>油罐区北侧，</w:t>
            </w:r>
            <w:r>
              <w:rPr>
                <w:rFonts w:hint="eastAsia" w:ascii="宋体" w:hAnsi="宋体" w:eastAsia="宋体" w:cs="宋体"/>
                <w:lang w:eastAsia="zh-CN"/>
              </w:rPr>
              <w:t>罐区共有通气管</w:t>
            </w:r>
            <w:r>
              <w:rPr>
                <w:rFonts w:hint="eastAsia" w:ascii="宋体" w:hAnsi="宋体" w:eastAsia="宋体" w:cs="宋体"/>
                <w:lang w:val="en-US" w:eastAsia="zh-CN"/>
              </w:rPr>
              <w:t>4</w:t>
            </w:r>
            <w:r>
              <w:rPr>
                <w:rFonts w:hint="eastAsia" w:ascii="宋体" w:hAnsi="宋体" w:eastAsia="宋体" w:cs="宋体"/>
                <w:lang w:eastAsia="zh-CN"/>
              </w:rPr>
              <w:t>根（</w:t>
            </w:r>
            <w:r>
              <w:rPr>
                <w:rFonts w:hint="eastAsia" w:ascii="宋体" w:hAnsi="宋体" w:eastAsia="宋体" w:cs="宋体"/>
                <w:lang w:val="en-US" w:eastAsia="zh-CN"/>
              </w:rPr>
              <w:t>三次</w:t>
            </w:r>
            <w:r>
              <w:rPr>
                <w:rFonts w:hint="eastAsia" w:ascii="宋体" w:hAnsi="宋体" w:eastAsia="宋体" w:cs="宋体"/>
                <w:lang w:eastAsia="zh-CN"/>
              </w:rPr>
              <w:t>油气回收装置</w:t>
            </w:r>
            <w:r>
              <w:rPr>
                <w:rFonts w:hint="eastAsia" w:ascii="宋体" w:hAnsi="宋体" w:eastAsia="宋体" w:cs="宋体"/>
                <w:lang w:val="en-US" w:eastAsia="zh-CN"/>
              </w:rPr>
              <w:t>1</w:t>
            </w:r>
            <w:r>
              <w:rPr>
                <w:rFonts w:hint="eastAsia" w:ascii="宋体" w:hAnsi="宋体" w:eastAsia="宋体" w:cs="宋体"/>
                <w:lang w:eastAsia="zh-CN"/>
              </w:rPr>
              <w:t>根）；该站汽油设有卸油油气回收系统、加油油气回收系统及油气</w:t>
            </w:r>
            <w:r>
              <w:rPr>
                <w:rFonts w:hint="eastAsia" w:ascii="宋体" w:hAnsi="宋体" w:eastAsia="宋体" w:cs="宋体"/>
                <w:lang w:val="en-US" w:eastAsia="zh-CN"/>
              </w:rPr>
              <w:t>回收</w:t>
            </w:r>
            <w:r>
              <w:rPr>
                <w:rFonts w:hint="eastAsia" w:ascii="宋体" w:hAnsi="宋体" w:eastAsia="宋体" w:cs="宋体"/>
                <w:lang w:eastAsia="zh-CN"/>
              </w:rPr>
              <w:t>处理装置（三次油气回收系统）；按《汽车加油加气加氢站技术标准》GB50156-2021标准规定：V=</w:t>
            </w:r>
            <w:r>
              <w:rPr>
                <w:rFonts w:hint="eastAsia" w:ascii="宋体" w:hAnsi="宋体" w:eastAsia="宋体" w:cs="宋体"/>
                <w:lang w:val="en-US" w:eastAsia="zh-CN"/>
              </w:rPr>
              <w:t>45</w:t>
            </w:r>
            <w:r>
              <w:rPr>
                <w:rFonts w:hint="eastAsia" w:ascii="宋体" w:hAnsi="宋体" w:eastAsia="宋体" w:cs="宋体"/>
                <w:lang w:eastAsia="zh-CN"/>
              </w:rPr>
              <w:t>+</w:t>
            </w:r>
            <w:r>
              <w:rPr>
                <w:rFonts w:hint="eastAsia" w:ascii="宋体" w:hAnsi="宋体" w:eastAsia="宋体" w:cs="宋体"/>
                <w:lang w:val="en-US" w:eastAsia="zh-CN"/>
              </w:rPr>
              <w:t>80</w:t>
            </w:r>
            <w:r>
              <w:rPr>
                <w:rFonts w:hint="eastAsia" w:ascii="宋体" w:hAnsi="宋体" w:eastAsia="宋体" w:cs="宋体"/>
                <w:lang w:eastAsia="zh-CN"/>
              </w:rPr>
              <w:t>/2=</w:t>
            </w:r>
            <w:r>
              <w:rPr>
                <w:rFonts w:hint="eastAsia" w:ascii="宋体" w:hAnsi="宋体" w:eastAsia="宋体" w:cs="宋体"/>
                <w:lang w:val="en-US" w:eastAsia="zh-CN"/>
              </w:rPr>
              <w:t>85</w:t>
            </w:r>
            <w:r>
              <w:rPr>
                <w:rFonts w:hint="eastAsia" w:ascii="宋体" w:hAnsi="宋体" w:eastAsia="宋体" w:cs="宋体"/>
                <w:lang w:eastAsia="zh-CN"/>
              </w:rPr>
              <w:t>m3，该站属</w:t>
            </w:r>
            <w:r>
              <w:rPr>
                <w:rFonts w:hint="eastAsia" w:ascii="宋体" w:hAnsi="宋体" w:eastAsia="宋体" w:cs="宋体"/>
                <w:lang w:val="en-US" w:eastAsia="zh-CN"/>
              </w:rPr>
              <w:t>三</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8"/>
              <w:spacing w:before="303" w:line="226" w:lineRule="auto"/>
              <w:ind w:left="516"/>
            </w:pPr>
            <w:r>
              <w:rPr>
                <w:spacing w:val="7"/>
              </w:rPr>
              <w:t>评价人员</w:t>
            </w:r>
          </w:p>
        </w:tc>
        <w:tc>
          <w:tcPr>
            <w:tcW w:w="5163" w:type="dxa"/>
            <w:gridSpan w:val="2"/>
            <w:vAlign w:val="top"/>
          </w:tcPr>
          <w:p w14:paraId="2BFFD54D">
            <w:pPr>
              <w:pStyle w:val="8"/>
              <w:spacing w:before="303" w:line="228" w:lineRule="auto"/>
              <w:ind w:left="2273"/>
            </w:pPr>
            <w:r>
              <w:t>姓</w:t>
            </w:r>
            <w:r>
              <w:rPr>
                <w:spacing w:val="10"/>
              </w:rPr>
              <w:t xml:space="preserve">  </w:t>
            </w:r>
            <w:r>
              <w:t>名</w:t>
            </w:r>
          </w:p>
        </w:tc>
        <w:tc>
          <w:tcPr>
            <w:tcW w:w="1928" w:type="dxa"/>
            <w:vAlign w:val="top"/>
          </w:tcPr>
          <w:p w14:paraId="7E0C50CA">
            <w:pPr>
              <w:pStyle w:val="8"/>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8"/>
              <w:spacing w:before="101" w:line="228" w:lineRule="auto"/>
              <w:ind w:left="415"/>
            </w:pPr>
            <w:r>
              <w:rPr>
                <w:spacing w:val="7"/>
              </w:rPr>
              <w:t>项目负责人</w:t>
            </w:r>
          </w:p>
        </w:tc>
        <w:tc>
          <w:tcPr>
            <w:tcW w:w="5163" w:type="dxa"/>
            <w:gridSpan w:val="2"/>
            <w:vAlign w:val="top"/>
          </w:tcPr>
          <w:p w14:paraId="7F1DFC3C">
            <w:pPr>
              <w:pStyle w:val="8"/>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8"/>
              <w:spacing w:before="65" w:line="228" w:lineRule="auto"/>
              <w:ind w:left="415"/>
            </w:pPr>
            <w:r>
              <w:rPr>
                <w:spacing w:val="7"/>
              </w:rPr>
              <w:t>项目组成员</w:t>
            </w:r>
          </w:p>
        </w:tc>
        <w:tc>
          <w:tcPr>
            <w:tcW w:w="5163" w:type="dxa"/>
            <w:gridSpan w:val="2"/>
            <w:vAlign w:val="top"/>
          </w:tcPr>
          <w:p w14:paraId="1B2595E1">
            <w:pPr>
              <w:pStyle w:val="8"/>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8"/>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8"/>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8"/>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8"/>
              <w:spacing w:before="95" w:line="226" w:lineRule="auto"/>
              <w:ind w:left="410"/>
            </w:pPr>
            <w:r>
              <w:rPr>
                <w:spacing w:val="8"/>
              </w:rPr>
              <w:t>报告编制人</w:t>
            </w:r>
          </w:p>
        </w:tc>
        <w:tc>
          <w:tcPr>
            <w:tcW w:w="5163" w:type="dxa"/>
            <w:gridSpan w:val="2"/>
            <w:vAlign w:val="top"/>
          </w:tcPr>
          <w:p w14:paraId="4EE98977">
            <w:pPr>
              <w:pStyle w:val="8"/>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8"/>
              <w:spacing w:before="97" w:line="226" w:lineRule="auto"/>
              <w:ind w:left="410"/>
            </w:pPr>
            <w:r>
              <w:rPr>
                <w:spacing w:val="8"/>
              </w:rPr>
              <w:t>报告审核人</w:t>
            </w:r>
          </w:p>
        </w:tc>
        <w:tc>
          <w:tcPr>
            <w:tcW w:w="5163" w:type="dxa"/>
            <w:gridSpan w:val="2"/>
            <w:vAlign w:val="top"/>
          </w:tcPr>
          <w:p w14:paraId="007E677D">
            <w:pPr>
              <w:pStyle w:val="8"/>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9" w:hRule="atLeast"/>
        </w:trPr>
        <w:tc>
          <w:tcPr>
            <w:tcW w:w="1863" w:type="dxa"/>
            <w:gridSpan w:val="2"/>
            <w:vAlign w:val="top"/>
          </w:tcPr>
          <w:p w14:paraId="467D9B38">
            <w:pPr>
              <w:pStyle w:val="8"/>
              <w:spacing w:before="110" w:line="228" w:lineRule="auto"/>
              <w:ind w:left="203"/>
            </w:pPr>
            <w:r>
              <w:rPr>
                <w:spacing w:val="8"/>
              </w:rPr>
              <w:t>过程控制负责人</w:t>
            </w:r>
          </w:p>
        </w:tc>
        <w:tc>
          <w:tcPr>
            <w:tcW w:w="5163" w:type="dxa"/>
            <w:gridSpan w:val="2"/>
            <w:vAlign w:val="top"/>
          </w:tcPr>
          <w:p w14:paraId="157CCBC9">
            <w:pPr>
              <w:pStyle w:val="8"/>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8"/>
              <w:spacing w:before="96" w:line="228" w:lineRule="auto"/>
              <w:ind w:left="412"/>
            </w:pPr>
            <w:r>
              <w:rPr>
                <w:spacing w:val="7"/>
              </w:rPr>
              <w:t>技术负责人</w:t>
            </w:r>
          </w:p>
        </w:tc>
        <w:tc>
          <w:tcPr>
            <w:tcW w:w="5163" w:type="dxa"/>
            <w:gridSpan w:val="2"/>
            <w:vAlign w:val="top"/>
          </w:tcPr>
          <w:p w14:paraId="626DB1B1">
            <w:pPr>
              <w:pStyle w:val="8"/>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863" w:type="dxa"/>
            <w:gridSpan w:val="2"/>
            <w:vMerge w:val="restart"/>
            <w:tcBorders>
              <w:bottom w:val="nil"/>
            </w:tcBorders>
            <w:vAlign w:val="top"/>
          </w:tcPr>
          <w:p w14:paraId="08DD3268">
            <w:pPr>
              <w:pStyle w:val="8"/>
              <w:spacing w:before="263" w:line="228" w:lineRule="auto"/>
              <w:ind w:left="518"/>
            </w:pPr>
            <w:r>
              <w:rPr>
                <w:spacing w:val="7"/>
              </w:rPr>
              <w:t>技术专家</w:t>
            </w:r>
          </w:p>
          <w:p w14:paraId="1D7CFC9B">
            <w:pPr>
              <w:pStyle w:val="8"/>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8"/>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8"/>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8"/>
              <w:spacing w:before="96" w:line="228" w:lineRule="auto"/>
              <w:ind w:left="1027"/>
            </w:pPr>
            <w:r>
              <w:rPr>
                <w:spacing w:val="7"/>
              </w:rPr>
              <w:t>到现场主要人员</w:t>
            </w:r>
          </w:p>
        </w:tc>
        <w:tc>
          <w:tcPr>
            <w:tcW w:w="1928" w:type="dxa"/>
            <w:vAlign w:val="top"/>
          </w:tcPr>
          <w:p w14:paraId="5D4B95EA">
            <w:pPr>
              <w:pStyle w:val="8"/>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hint="eastAsia" w:ascii="Times New Roman" w:hAnsi="Times New Roman" w:eastAsia="宋体" w:cs="Times New Roman"/>
                <w:spacing w:val="4"/>
                <w:sz w:val="20"/>
                <w:szCs w:val="20"/>
                <w:lang w:val="en-US" w:eastAsia="zh-CN"/>
              </w:rPr>
              <w:t>.10.7</w:t>
            </w:r>
          </w:p>
        </w:tc>
        <w:tc>
          <w:tcPr>
            <w:tcW w:w="3501" w:type="dxa"/>
            <w:vAlign w:val="top"/>
          </w:tcPr>
          <w:p w14:paraId="4B9D466E">
            <w:pPr>
              <w:pStyle w:val="8"/>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8"/>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10</w:t>
            </w:r>
            <w:r>
              <w:rPr>
                <w:rFonts w:hint="eastAsia" w:ascii="Times New Roman" w:hAnsi="Times New Roman" w:eastAsia="宋体" w:cs="Times New Roman"/>
                <w:spacing w:val="4"/>
                <w:sz w:val="20"/>
                <w:szCs w:val="20"/>
                <w:lang w:val="en-US" w:eastAsia="zh-CN"/>
              </w:rPr>
              <w:t>.23</w:t>
            </w:r>
          </w:p>
        </w:tc>
        <w:tc>
          <w:tcPr>
            <w:tcW w:w="3501" w:type="dxa"/>
            <w:vAlign w:val="top"/>
          </w:tcPr>
          <w:p w14:paraId="17887980">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8"/>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4.11.1</w:t>
            </w:r>
          </w:p>
        </w:tc>
        <w:tc>
          <w:tcPr>
            <w:tcW w:w="3501" w:type="dxa"/>
            <w:vAlign w:val="top"/>
          </w:tcPr>
          <w:p w14:paraId="305B2291">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8"/>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8"/>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11.15</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8"/>
              <w:spacing w:before="111" w:line="228" w:lineRule="auto"/>
              <w:ind w:left="117"/>
            </w:pPr>
            <w:r>
              <w:rPr>
                <w:spacing w:val="8"/>
              </w:rPr>
              <w:t>有必要公开的其它内容：</w:t>
            </w:r>
          </w:p>
        </w:tc>
      </w:tr>
    </w:tbl>
    <w:p w14:paraId="49D48824">
      <w:pPr>
        <w:rPr>
          <w:rFonts w:hint="eastAsia" w:eastAsia="宋体"/>
          <w:lang w:eastAsia="zh-CN"/>
        </w:rPr>
      </w:pPr>
    </w:p>
    <w:p w14:paraId="0082686C">
      <w:pPr>
        <w:rPr>
          <w:rFonts w:hint="eastAsia" w:eastAsia="宋体"/>
          <w:lang w:eastAsia="zh-CN"/>
        </w:rPr>
      </w:pPr>
    </w:p>
    <w:p w14:paraId="211DA238">
      <w:pPr>
        <w:rPr>
          <w:rFonts w:hint="eastAsia" w:eastAsia="宋体"/>
          <w:lang w:eastAsia="zh-CN"/>
        </w:rPr>
      </w:pPr>
    </w:p>
    <w:p w14:paraId="71FFE0F0">
      <w:pPr>
        <w:rPr>
          <w:rFonts w:hint="eastAsia" w:eastAsia="宋体"/>
          <w:lang w:eastAsia="zh-CN"/>
        </w:rPr>
      </w:pPr>
    </w:p>
    <w:p w14:paraId="4AB14954">
      <w:pPr>
        <w:rPr>
          <w:rFonts w:hint="eastAsia" w:eastAsia="宋体"/>
          <w:lang w:eastAsia="zh-CN"/>
        </w:rPr>
      </w:pPr>
    </w:p>
    <w:p w14:paraId="27111989">
      <w:pPr>
        <w:rPr>
          <w:rFonts w:hint="eastAsia" w:eastAsia="宋体"/>
          <w:lang w:eastAsia="zh-CN"/>
        </w:rPr>
      </w:pPr>
      <w:r>
        <w:rPr>
          <w:rFonts w:hint="eastAsia" w:eastAsia="宋体"/>
          <w:lang w:eastAsia="zh-CN"/>
        </w:rPr>
        <w:drawing>
          <wp:inline distT="0" distB="0" distL="114300" distR="114300">
            <wp:extent cx="5845175" cy="7919720"/>
            <wp:effectExtent l="0" t="0" r="0" b="0"/>
            <wp:docPr id="8" name="图片 8" descr="67665bf8e1222dcd6aa643c9e6fd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7665bf8e1222dcd6aa643c9e6fdd2d"/>
                    <pic:cNvPicPr>
                      <a:picLocks noChangeAspect="1"/>
                    </pic:cNvPicPr>
                  </pic:nvPicPr>
                  <pic:blipFill>
                    <a:blip r:embed="rId6"/>
                    <a:srcRect l="1593"/>
                    <a:stretch>
                      <a:fillRect/>
                    </a:stretch>
                  </pic:blipFill>
                  <pic:spPr>
                    <a:xfrm>
                      <a:off x="0" y="0"/>
                      <a:ext cx="5845175" cy="7919720"/>
                    </a:xfrm>
                    <a:prstGeom prst="rect">
                      <a:avLst/>
                    </a:prstGeom>
                  </pic:spPr>
                </pic:pic>
              </a:graphicData>
            </a:graphic>
          </wp:inline>
        </w:drawing>
      </w:r>
    </w:p>
    <w:p w14:paraId="21212F5F">
      <w:pPr>
        <w:pStyle w:val="4"/>
        <w:rPr>
          <w:rFonts w:hint="eastAsia" w:eastAsia="宋体"/>
          <w:lang w:eastAsia="zh-CN"/>
        </w:rPr>
      </w:pPr>
    </w:p>
    <w:p w14:paraId="6229847A">
      <w:pPr>
        <w:pStyle w:val="4"/>
        <w:rPr>
          <w:rFonts w:hint="eastAsia" w:eastAsia="宋体"/>
          <w:lang w:eastAsia="zh-CN"/>
        </w:rPr>
      </w:pPr>
    </w:p>
    <w:p w14:paraId="059A2321">
      <w:pPr>
        <w:pStyle w:val="4"/>
        <w:rPr>
          <w:rFonts w:hint="eastAsia" w:eastAsia="宋体"/>
          <w:lang w:eastAsia="zh-CN"/>
        </w:rPr>
      </w:pPr>
    </w:p>
    <w:p w14:paraId="2CDE0619">
      <w:pPr>
        <w:pStyle w:val="4"/>
        <w:rPr>
          <w:rFonts w:hint="eastAsia" w:eastAsia="宋体"/>
          <w:lang w:eastAsia="zh-CN"/>
        </w:rPr>
      </w:pPr>
    </w:p>
    <w:p w14:paraId="7D5A2701">
      <w:pPr>
        <w:pStyle w:val="4"/>
        <w:rPr>
          <w:rFonts w:hint="eastAsia" w:eastAsia="宋体"/>
          <w:lang w:eastAsia="zh-CN"/>
        </w:rPr>
      </w:pPr>
    </w:p>
    <w:p w14:paraId="36099316">
      <w:pPr>
        <w:pStyle w:val="4"/>
        <w:rPr>
          <w:rFonts w:hint="eastAsia" w:eastAsia="宋体"/>
          <w:lang w:eastAsia="zh-CN"/>
        </w:rPr>
      </w:pPr>
      <w:r>
        <w:rPr>
          <w:rFonts w:hint="eastAsia" w:eastAsia="宋体"/>
          <w:lang w:eastAsia="zh-CN"/>
        </w:rPr>
        <w:drawing>
          <wp:inline distT="0" distB="0" distL="114300" distR="114300">
            <wp:extent cx="5932805" cy="7913370"/>
            <wp:effectExtent l="0" t="0" r="10795" b="11430"/>
            <wp:docPr id="9" name="图片 9" descr="a3eb30f0b0895c92c6c380efb4b7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eb30f0b0895c92c6c380efb4b7f28"/>
                    <pic:cNvPicPr>
                      <a:picLocks noChangeAspect="1"/>
                    </pic:cNvPicPr>
                  </pic:nvPicPr>
                  <pic:blipFill>
                    <a:blip r:embed="rId7"/>
                    <a:stretch>
                      <a:fillRect/>
                    </a:stretch>
                  </pic:blipFill>
                  <pic:spPr>
                    <a:xfrm>
                      <a:off x="0" y="0"/>
                      <a:ext cx="5932805" cy="7913370"/>
                    </a:xfrm>
                    <a:prstGeom prst="rect">
                      <a:avLst/>
                    </a:prstGeom>
                  </pic:spPr>
                </pic:pic>
              </a:graphicData>
            </a:graphic>
          </wp:inline>
        </w:drawing>
      </w:r>
    </w:p>
    <w:p w14:paraId="008CC86F">
      <w:pPr>
        <w:pStyle w:val="4"/>
        <w:ind w:left="0" w:leftChars="0" w:firstLine="0" w:firstLineChars="0"/>
        <w:rPr>
          <w:rFonts w:hint="eastAsia" w:eastAsia="宋体"/>
          <w:lang w:eastAsia="zh-CN"/>
        </w:rPr>
      </w:pPr>
    </w:p>
    <w:p w14:paraId="5C70A39A">
      <w:pPr>
        <w:pStyle w:val="4"/>
        <w:ind w:left="0" w:leftChars="0" w:firstLine="0" w:firstLineChars="0"/>
        <w:rPr>
          <w:rFonts w:hint="eastAsia" w:eastAsia="宋体"/>
          <w:lang w:eastAsia="zh-CN"/>
        </w:rPr>
      </w:pPr>
    </w:p>
    <w:p w14:paraId="47877E0B">
      <w:pPr>
        <w:pStyle w:val="4"/>
        <w:ind w:left="0" w:leftChars="0" w:firstLine="0" w:firstLineChars="0"/>
        <w:rPr>
          <w:rFonts w:hint="eastAsia" w:eastAsia="宋体"/>
          <w:lang w:eastAsia="zh-CN"/>
        </w:rPr>
      </w:pPr>
    </w:p>
    <w:p w14:paraId="6F74A0EC">
      <w:pPr>
        <w:pStyle w:val="4"/>
        <w:ind w:left="0" w:leftChars="0" w:firstLine="0" w:firstLineChars="0"/>
        <w:rPr>
          <w:rFonts w:hint="eastAsia" w:eastAsia="宋体"/>
          <w:lang w:eastAsia="zh-CN"/>
        </w:rPr>
      </w:pPr>
    </w:p>
    <w:p w14:paraId="0B90C6FC">
      <w:pPr>
        <w:pStyle w:val="4"/>
        <w:ind w:left="0" w:leftChars="0" w:firstLine="0" w:firstLineChars="0"/>
        <w:rPr>
          <w:rFonts w:hint="eastAsia" w:eastAsia="宋体"/>
          <w:lang w:eastAsia="zh-CN"/>
        </w:rPr>
      </w:pPr>
    </w:p>
    <w:p w14:paraId="5676C1D4">
      <w:pPr>
        <w:pStyle w:val="4"/>
        <w:ind w:left="0" w:leftChars="0" w:firstLine="0" w:firstLineChars="0"/>
        <w:rPr>
          <w:rFonts w:hint="eastAsia" w:eastAsia="宋体"/>
          <w:lang w:eastAsia="zh-CN"/>
        </w:rPr>
      </w:pPr>
    </w:p>
    <w:p w14:paraId="3DAEC849">
      <w:pPr>
        <w:pStyle w:val="4"/>
        <w:ind w:left="0" w:leftChars="0" w:firstLine="0" w:firstLineChars="0"/>
        <w:rPr>
          <w:rFonts w:hint="eastAsia" w:eastAsia="宋体"/>
          <w:lang w:eastAsia="zh-CN"/>
        </w:rPr>
      </w:pPr>
    </w:p>
    <w:p w14:paraId="28246EF6">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466715" cy="7691120"/>
            <wp:effectExtent l="0" t="0" r="0" b="0"/>
            <wp:docPr id="10" name="图片 10" descr="042a60feab30a4c4cfc4a742468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2a60feab30a4c4cfc4a742468c48c"/>
                    <pic:cNvPicPr>
                      <a:picLocks noChangeAspect="1"/>
                    </pic:cNvPicPr>
                  </pic:nvPicPr>
                  <pic:blipFill>
                    <a:blip r:embed="rId8"/>
                    <a:srcRect l="4324" t="2809" r="3532"/>
                    <a:stretch>
                      <a:fillRect/>
                    </a:stretch>
                  </pic:blipFill>
                  <pic:spPr>
                    <a:xfrm>
                      <a:off x="0" y="0"/>
                      <a:ext cx="5466715" cy="7691120"/>
                    </a:xfrm>
                    <a:prstGeom prst="rect">
                      <a:avLst/>
                    </a:prstGeom>
                  </pic:spPr>
                </pic:pic>
              </a:graphicData>
            </a:graphic>
          </wp:inline>
        </w:drawing>
      </w:r>
    </w:p>
    <w:p w14:paraId="23D6C48E">
      <w:pPr>
        <w:pStyle w:val="4"/>
        <w:ind w:left="0" w:leftChars="0" w:firstLine="0" w:firstLineChars="0"/>
        <w:rPr>
          <w:rFonts w:hint="eastAsia" w:eastAsia="宋体"/>
          <w:lang w:eastAsia="zh-CN"/>
        </w:rPr>
      </w:pPr>
    </w:p>
    <w:p w14:paraId="6ABA497A">
      <w:pPr>
        <w:pStyle w:val="4"/>
        <w:ind w:left="0" w:leftChars="0" w:firstLine="0" w:firstLineChars="0"/>
        <w:rPr>
          <w:rFonts w:hint="eastAsia" w:eastAsia="宋体"/>
          <w:lang w:eastAsia="zh-CN"/>
        </w:rPr>
      </w:pPr>
    </w:p>
    <w:p w14:paraId="72EE4DB0">
      <w:pPr>
        <w:pStyle w:val="4"/>
        <w:ind w:left="0" w:leftChars="0" w:firstLine="0" w:firstLineChars="0"/>
        <w:rPr>
          <w:rFonts w:hint="eastAsia" w:eastAsia="宋体"/>
          <w:lang w:eastAsia="zh-CN"/>
        </w:rPr>
      </w:pPr>
    </w:p>
    <w:p w14:paraId="0859B821">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739130" cy="4304665"/>
            <wp:effectExtent l="0" t="0" r="13970" b="635"/>
            <wp:docPr id="11" name="图片 11" descr="IMG_20241101_1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01_120111"/>
                    <pic:cNvPicPr>
                      <a:picLocks noChangeAspect="1"/>
                    </pic:cNvPicPr>
                  </pic:nvPicPr>
                  <pic:blipFill>
                    <a:blip r:embed="rId9"/>
                    <a:stretch>
                      <a:fillRect/>
                    </a:stretch>
                  </pic:blipFill>
                  <pic:spPr>
                    <a:xfrm>
                      <a:off x="0" y="0"/>
                      <a:ext cx="5739130" cy="4304665"/>
                    </a:xfrm>
                    <a:prstGeom prst="rect">
                      <a:avLst/>
                    </a:prstGeom>
                  </pic:spPr>
                </pic:pic>
              </a:graphicData>
            </a:graphic>
          </wp:inline>
        </w:drawing>
      </w:r>
    </w:p>
    <w:p w14:paraId="749F8AAA">
      <w:pPr>
        <w:pStyle w:val="4"/>
        <w:ind w:left="0" w:leftChars="0" w:firstLine="0" w:firstLineChars="0"/>
        <w:rPr>
          <w:rFonts w:hint="eastAsia" w:eastAsia="宋体"/>
          <w:lang w:eastAsia="zh-CN"/>
        </w:rPr>
      </w:pPr>
    </w:p>
    <w:p w14:paraId="74A35CDA">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740400" cy="4305300"/>
            <wp:effectExtent l="0" t="0" r="12700" b="0"/>
            <wp:docPr id="12" name="图片 12" descr="IMG_20241101_12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01_120103"/>
                    <pic:cNvPicPr>
                      <a:picLocks noChangeAspect="1"/>
                    </pic:cNvPicPr>
                  </pic:nvPicPr>
                  <pic:blipFill>
                    <a:blip r:embed="rId10"/>
                    <a:stretch>
                      <a:fillRect/>
                    </a:stretch>
                  </pic:blipFill>
                  <pic:spPr>
                    <a:xfrm>
                      <a:off x="0" y="0"/>
                      <a:ext cx="5740400" cy="4305300"/>
                    </a:xfrm>
                    <a:prstGeom prst="rect">
                      <a:avLst/>
                    </a:prstGeom>
                  </pic:spPr>
                </pic:pic>
              </a:graphicData>
            </a:graphic>
          </wp:inline>
        </w:drawing>
      </w:r>
    </w:p>
    <w:p w14:paraId="2757021E">
      <w:pPr>
        <w:pStyle w:val="11"/>
        <w:widowControl w:val="0"/>
        <w:adjustRightInd w:val="0"/>
        <w:snapToGrid w:val="0"/>
        <w:spacing w:before="0" w:beforeLines="0" w:after="0" w:afterLines="0" w:line="360" w:lineRule="auto"/>
        <w:rPr>
          <w:color w:val="auto"/>
        </w:rPr>
      </w:pPr>
      <w:bookmarkStart w:id="0" w:name="_Toc102634406"/>
      <w:bookmarkStart w:id="1" w:name="_Toc102634255"/>
      <w:bookmarkStart w:id="2" w:name="_Toc102633980"/>
      <w:bookmarkStart w:id="3" w:name="_Toc102633906"/>
      <w:r>
        <w:rPr>
          <w:rFonts w:hint="eastAsia"/>
          <w:color w:val="auto"/>
          <w:lang w:val="en-US" w:eastAsia="zh-CN"/>
        </w:rPr>
        <w:t>第</w:t>
      </w:r>
      <w:r>
        <w:rPr>
          <w:color w:val="auto"/>
        </w:rPr>
        <w:t>二章 加油站概况</w:t>
      </w:r>
    </w:p>
    <w:p w14:paraId="4DDAA1D7">
      <w:pPr>
        <w:snapToGrid w:val="0"/>
        <w:spacing w:line="360" w:lineRule="auto"/>
        <w:jc w:val="center"/>
        <w:outlineLvl w:val="1"/>
        <w:rPr>
          <w:rFonts w:ascii="Calibri" w:hAnsi="Calibri" w:eastAsia="楷体_GB2312"/>
          <w:b/>
          <w:color w:val="auto"/>
          <w:kern w:val="0"/>
          <w:sz w:val="32"/>
          <w:szCs w:val="20"/>
        </w:rPr>
      </w:pPr>
      <w:bookmarkStart w:id="4" w:name="_Toc15033743"/>
      <w:bookmarkStart w:id="5" w:name="_Toc102633896"/>
      <w:bookmarkStart w:id="6" w:name="_Toc102633970"/>
      <w:bookmarkStart w:id="7" w:name="_Toc30066"/>
      <w:bookmarkStart w:id="8" w:name="_Toc272364524"/>
      <w:bookmarkStart w:id="9" w:name="_Toc102634227"/>
      <w:bookmarkStart w:id="10" w:name="_Toc208733856"/>
      <w:bookmarkStart w:id="11" w:name="_Toc102634396"/>
      <w:bookmarkStart w:id="12" w:name="_Toc26504"/>
      <w:r>
        <w:rPr>
          <w:rFonts w:ascii="Calibri" w:hAnsi="Calibri" w:eastAsia="楷体_GB2312"/>
          <w:b/>
          <w:color w:val="auto"/>
          <w:kern w:val="0"/>
          <w:sz w:val="32"/>
          <w:szCs w:val="20"/>
        </w:rPr>
        <w:t>第一节 加油站基本情况</w:t>
      </w:r>
      <w:bookmarkEnd w:id="4"/>
      <w:bookmarkEnd w:id="5"/>
      <w:bookmarkEnd w:id="6"/>
      <w:bookmarkEnd w:id="7"/>
      <w:bookmarkEnd w:id="8"/>
      <w:bookmarkEnd w:id="9"/>
      <w:bookmarkEnd w:id="10"/>
      <w:bookmarkEnd w:id="11"/>
      <w:bookmarkEnd w:id="12"/>
    </w:p>
    <w:p w14:paraId="27A66AA0">
      <w:pPr>
        <w:adjustRightInd w:val="0"/>
        <w:snapToGrid w:val="0"/>
        <w:spacing w:line="360" w:lineRule="auto"/>
        <w:ind w:firstLine="560" w:firstLineChars="200"/>
        <w:rPr>
          <w:rFonts w:ascii="宋体"/>
          <w:color w:val="000000" w:themeColor="text1"/>
          <w:highlight w:val="none"/>
          <w14:textFill>
            <w14:solidFill>
              <w14:schemeClr w14:val="tx1"/>
            </w14:solidFill>
          </w14:textFill>
        </w:rPr>
      </w:pPr>
      <w:r>
        <w:rPr>
          <w:rFonts w:hint="eastAsia" w:ascii="宋体" w:hAnsi="宋体"/>
          <w:color w:val="auto"/>
          <w:sz w:val="28"/>
          <w:szCs w:val="28"/>
          <w:lang w:val="en-US" w:eastAsia="zh-CN"/>
        </w:rPr>
        <w:t>肥城市汶阳</w:t>
      </w:r>
      <w:r>
        <w:rPr>
          <w:rFonts w:hint="eastAsia" w:ascii="宋体" w:hAnsi="宋体"/>
          <w:color w:val="auto"/>
          <w:sz w:val="28"/>
          <w:szCs w:val="28"/>
          <w:lang w:eastAsia="zh-CN"/>
        </w:rPr>
        <w:t>加油站位于</w:t>
      </w:r>
      <w:r>
        <w:rPr>
          <w:rFonts w:hint="eastAsia" w:ascii="宋体" w:hAnsi="宋体"/>
          <w:color w:val="auto"/>
          <w:sz w:val="28"/>
          <w:szCs w:val="28"/>
          <w:lang w:val="en-US" w:eastAsia="zh-CN"/>
        </w:rPr>
        <w:t>汶阳镇吴店镇卫生院南1200米处汶河路东侧</w:t>
      </w:r>
      <w:r>
        <w:rPr>
          <w:rFonts w:hint="eastAsia" w:ascii="宋体" w:hAnsi="宋体" w:cs="宋体"/>
          <w:color w:val="auto"/>
          <w:sz w:val="28"/>
        </w:rPr>
        <w:t>，</w:t>
      </w:r>
      <w:r>
        <w:rPr>
          <w:rFonts w:hint="eastAsia" w:ascii="宋体" w:hAnsi="宋体" w:cs="宋体"/>
          <w:color w:val="auto"/>
          <w:sz w:val="28"/>
          <w:szCs w:val="28"/>
          <w:highlight w:val="none"/>
          <w:lang w:val="en-US" w:eastAsia="zh-CN"/>
        </w:rPr>
        <w:t>加油站北侧是通信线、站外道路、民房，南侧为农田、民房，西侧是通信线、X008</w:t>
      </w:r>
      <w:r>
        <w:rPr>
          <w:rFonts w:hint="eastAsia" w:ascii="宋体" w:hAnsi="宋体" w:cs="宋体"/>
          <w:color w:val="000000" w:themeColor="text1"/>
          <w:sz w:val="28"/>
          <w:szCs w:val="28"/>
          <w:highlight w:val="none"/>
          <w:lang w:val="en-US" w:eastAsia="zh-CN"/>
          <w14:textFill>
            <w14:solidFill>
              <w14:schemeClr w14:val="tx1"/>
            </w14:solidFill>
          </w14:textFill>
        </w:rPr>
        <w:t>，</w:t>
      </w:r>
      <w:r>
        <w:rPr>
          <w:rFonts w:hint="eastAsia" w:ascii="宋体" w:hAnsi="宋体" w:cs="宋体"/>
          <w:color w:val="auto"/>
          <w:sz w:val="28"/>
          <w:szCs w:val="28"/>
          <w:highlight w:val="none"/>
          <w:lang w:val="en-US" w:eastAsia="zh-CN"/>
        </w:rPr>
        <w:t>东侧是农田</w:t>
      </w:r>
      <w:r>
        <w:rPr>
          <w:rFonts w:hint="eastAsia" w:ascii="宋体" w:hAnsi="宋体" w:cs="宋体"/>
          <w:color w:val="auto"/>
          <w:sz w:val="28"/>
          <w:szCs w:val="28"/>
          <w:lang w:val="en-US" w:eastAsia="zh-CN"/>
        </w:rPr>
        <w:t>。</w:t>
      </w:r>
      <w:r>
        <w:rPr>
          <w:rFonts w:hint="eastAsia" w:ascii="宋体" w:hAnsi="宋体"/>
          <w:color w:val="auto"/>
          <w:sz w:val="28"/>
          <w:lang w:val="en-US" w:eastAsia="zh-CN"/>
        </w:rPr>
        <w:t>该站经营许可范围为汽油、乙醇汽油、柴油，现</w:t>
      </w:r>
      <w:r>
        <w:rPr>
          <w:rFonts w:hint="eastAsia" w:ascii="宋体" w:hAnsi="宋体"/>
          <w:color w:val="auto"/>
          <w:sz w:val="28"/>
        </w:rPr>
        <w:t>其主要</w:t>
      </w:r>
      <w:r>
        <w:rPr>
          <w:rFonts w:hint="eastAsia" w:ascii="宋体" w:hAnsi="宋体"/>
          <w:color w:val="auto"/>
          <w:sz w:val="28"/>
          <w:lang w:val="en-US" w:eastAsia="zh-CN"/>
        </w:rPr>
        <w:t>储存</w:t>
      </w:r>
      <w:r>
        <w:rPr>
          <w:rFonts w:hint="eastAsia" w:ascii="宋体" w:hAnsi="宋体"/>
          <w:color w:val="auto"/>
          <w:sz w:val="28"/>
        </w:rPr>
        <w:t>经营</w:t>
      </w:r>
      <w:r>
        <w:rPr>
          <w:rFonts w:hint="eastAsia" w:ascii="宋体" w:hAnsi="宋体"/>
          <w:color w:val="auto"/>
          <w:sz w:val="28"/>
          <w:lang w:eastAsia="zh-CN"/>
        </w:rPr>
        <w:t>汽油</w:t>
      </w:r>
      <w:r>
        <w:rPr>
          <w:rFonts w:hint="eastAsia" w:ascii="宋体" w:hAnsi="宋体"/>
          <w:color w:val="auto"/>
          <w:sz w:val="28"/>
        </w:rPr>
        <w:t>、柴油</w:t>
      </w:r>
      <w:r>
        <w:rPr>
          <w:rFonts w:hint="eastAsia" w:ascii="宋体" w:hAnsi="宋体"/>
          <w:snapToGrid w:val="0"/>
          <w:color w:val="auto"/>
          <w:kern w:val="0"/>
          <w:sz w:val="28"/>
        </w:rPr>
        <w:t>（0#与-10#换季销售）</w:t>
      </w:r>
      <w:r>
        <w:rPr>
          <w:rFonts w:hint="eastAsia" w:ascii="宋体" w:hAnsi="宋体"/>
          <w:snapToGrid w:val="0"/>
          <w:color w:val="auto"/>
          <w:kern w:val="0"/>
          <w:sz w:val="28"/>
          <w:lang w:eastAsia="zh-CN"/>
        </w:rPr>
        <w:t>，</w:t>
      </w:r>
      <w:r>
        <w:rPr>
          <w:rFonts w:hint="eastAsia" w:ascii="宋体" w:hAnsi="宋体"/>
          <w:snapToGrid w:val="0"/>
          <w:color w:val="auto"/>
          <w:kern w:val="0"/>
          <w:sz w:val="28"/>
          <w:lang w:val="en-US" w:eastAsia="zh-CN"/>
        </w:rPr>
        <w:t>暂未储存</w:t>
      </w:r>
      <w:r>
        <w:rPr>
          <w:rFonts w:hint="eastAsia" w:ascii="宋体" w:hAnsi="宋体"/>
          <w:color w:val="auto"/>
          <w:sz w:val="28"/>
          <w:lang w:val="en-US" w:eastAsia="zh-CN"/>
        </w:rPr>
        <w:t>乙醇汽油</w:t>
      </w:r>
      <w:r>
        <w:rPr>
          <w:rFonts w:hint="eastAsia" w:ascii="宋体" w:hAnsi="宋体"/>
          <w:snapToGrid w:val="0"/>
          <w:color w:val="auto"/>
          <w:kern w:val="0"/>
          <w:sz w:val="28"/>
        </w:rPr>
        <w:t>。</w:t>
      </w:r>
      <w:r>
        <w:rPr>
          <w:rFonts w:hint="eastAsia" w:ascii="宋体" w:hAnsi="宋体"/>
          <w:color w:val="000000" w:themeColor="text1"/>
          <w:sz w:val="28"/>
          <w:lang w:val="en-US" w:eastAsia="zh-CN"/>
          <w14:textFill>
            <w14:solidFill>
              <w14:schemeClr w14:val="tx1"/>
            </w14:solidFill>
          </w14:textFill>
        </w:rPr>
        <w:t>此次现状评价报告与三年前报告相比，周边关系未发生变化，总平面布置中增设了一台洗车机，4个可燃气体探测器。</w:t>
      </w:r>
    </w:p>
    <w:p w14:paraId="5AE4B0E8">
      <w:pPr>
        <w:pStyle w:val="10"/>
        <w:widowControl w:val="0"/>
        <w:adjustRightInd w:val="0"/>
        <w:snapToGrid w:val="0"/>
        <w:spacing w:line="360" w:lineRule="auto"/>
        <w:ind w:firstLine="560"/>
        <w:rPr>
          <w:rFonts w:hint="eastAsia" w:ascii="宋体"/>
          <w:color w:val="auto"/>
          <w:vertAlign w:val="superscript"/>
        </w:rPr>
      </w:pPr>
      <w:r>
        <w:rPr>
          <w:rFonts w:hint="eastAsia" w:ascii="宋体" w:hAnsi="宋体"/>
          <w:color w:val="auto"/>
          <w:szCs w:val="28"/>
        </w:rPr>
        <w:t>该加油站主要建有</w:t>
      </w:r>
      <w:r>
        <w:rPr>
          <w:rFonts w:hint="eastAsia" w:ascii="宋体" w:hAnsi="宋体"/>
          <w:color w:val="auto"/>
          <w:szCs w:val="28"/>
          <w:lang w:val="en-US" w:eastAsia="zh-CN"/>
        </w:rPr>
        <w:t>站房</w:t>
      </w:r>
      <w:r>
        <w:rPr>
          <w:rFonts w:hint="eastAsia" w:ascii="宋体" w:hAnsi="宋体"/>
          <w:color w:val="auto"/>
          <w:szCs w:val="28"/>
        </w:rPr>
        <w:t>、油罐区、加油区等。</w:t>
      </w:r>
      <w:r>
        <w:rPr>
          <w:rFonts w:hint="eastAsia" w:ascii="宋体" w:hAnsi="宋体"/>
          <w:color w:val="auto"/>
          <w:szCs w:val="28"/>
          <w:lang w:val="en-US" w:eastAsia="zh-CN"/>
        </w:rPr>
        <w:t>站房</w:t>
      </w:r>
      <w:r>
        <w:rPr>
          <w:rFonts w:hint="eastAsia" w:ascii="宋体" w:hAnsi="宋体"/>
          <w:color w:val="auto"/>
          <w:szCs w:val="28"/>
        </w:rPr>
        <w:t>在加</w:t>
      </w:r>
      <w:r>
        <w:rPr>
          <w:rFonts w:hint="eastAsia" w:ascii="宋体" w:hAnsi="宋体"/>
          <w:color w:val="auto"/>
          <w:szCs w:val="28"/>
          <w:lang w:val="en-US" w:eastAsia="zh-CN"/>
        </w:rPr>
        <w:t>油区西</w:t>
      </w:r>
      <w:r>
        <w:rPr>
          <w:rFonts w:hint="eastAsia" w:ascii="宋体" w:hAnsi="宋体"/>
          <w:color w:val="auto"/>
          <w:szCs w:val="28"/>
        </w:rPr>
        <w:t>侧，</w:t>
      </w:r>
      <w:r>
        <w:rPr>
          <w:rFonts w:hint="eastAsia" w:ascii="宋体" w:hAnsi="宋体"/>
          <w:color w:val="auto"/>
          <w:szCs w:val="28"/>
          <w:lang w:val="en-US" w:eastAsia="zh-CN"/>
        </w:rPr>
        <w:t>加油区</w:t>
      </w:r>
      <w:r>
        <w:rPr>
          <w:rFonts w:hint="eastAsia" w:ascii="宋体" w:hAnsi="宋体"/>
          <w:color w:val="auto"/>
          <w:kern w:val="2"/>
          <w:szCs w:val="21"/>
        </w:rPr>
        <w:t>现有</w:t>
      </w:r>
      <w:r>
        <w:rPr>
          <w:rFonts w:hint="eastAsia" w:ascii="宋体" w:hAnsi="宋体"/>
          <w:color w:val="auto"/>
          <w:kern w:val="2"/>
          <w:szCs w:val="21"/>
          <w:lang w:val="en-US" w:eastAsia="zh-CN"/>
        </w:rPr>
        <w:t>4台双枪加油机（其中3</w:t>
      </w:r>
      <w:r>
        <w:rPr>
          <w:rFonts w:hint="eastAsia" w:ascii="宋体" w:hAnsi="宋体"/>
          <w:color w:val="auto"/>
          <w:kern w:val="2"/>
          <w:szCs w:val="21"/>
        </w:rPr>
        <w:t>台</w:t>
      </w:r>
      <w:r>
        <w:rPr>
          <w:rFonts w:hint="eastAsia" w:ascii="宋体" w:hAnsi="宋体"/>
          <w:color w:val="auto"/>
          <w:kern w:val="2"/>
          <w:szCs w:val="21"/>
          <w:lang w:val="en-US" w:eastAsia="zh-CN"/>
        </w:rPr>
        <w:t>双</w:t>
      </w:r>
      <w:r>
        <w:rPr>
          <w:rFonts w:hint="eastAsia" w:ascii="宋体" w:hAnsi="宋体"/>
          <w:color w:val="auto"/>
          <w:kern w:val="2"/>
          <w:szCs w:val="21"/>
        </w:rPr>
        <w:t>枪</w:t>
      </w:r>
      <w:r>
        <w:rPr>
          <w:rFonts w:hint="eastAsia" w:ascii="宋体" w:hAnsi="宋体"/>
          <w:color w:val="auto"/>
          <w:kern w:val="2"/>
          <w:szCs w:val="21"/>
          <w:lang w:val="en-US" w:eastAsia="zh-CN"/>
        </w:rPr>
        <w:t>单油品</w:t>
      </w:r>
      <w:r>
        <w:rPr>
          <w:rFonts w:hint="eastAsia" w:ascii="宋体" w:hAnsi="宋体"/>
          <w:color w:val="auto"/>
          <w:kern w:val="2"/>
          <w:szCs w:val="21"/>
        </w:rPr>
        <w:t>加油机</w:t>
      </w:r>
      <w:r>
        <w:rPr>
          <w:rFonts w:hint="eastAsia" w:ascii="宋体" w:hAnsi="宋体"/>
          <w:color w:val="auto"/>
          <w:kern w:val="2"/>
          <w:szCs w:val="21"/>
          <w:lang w:eastAsia="zh-CN"/>
        </w:rPr>
        <w:t>，</w:t>
      </w:r>
      <w:r>
        <w:rPr>
          <w:rFonts w:hint="eastAsia" w:ascii="宋体" w:hAnsi="宋体"/>
          <w:color w:val="auto"/>
          <w:kern w:val="2"/>
          <w:szCs w:val="21"/>
          <w:lang w:val="en-US" w:eastAsia="zh-CN"/>
        </w:rPr>
        <w:t>1台双枪双油品加油机),其中1台柴油加油机暂时停用</w:t>
      </w:r>
      <w:r>
        <w:rPr>
          <w:rFonts w:hint="eastAsia"/>
          <w:lang w:eastAsia="zh-CN"/>
        </w:rPr>
        <w:t>，</w:t>
      </w:r>
      <w:r>
        <w:rPr>
          <w:rFonts w:hint="eastAsia"/>
          <w:lang w:val="en-US" w:eastAsia="zh-CN"/>
        </w:rPr>
        <w:t>均</w:t>
      </w:r>
      <w:r>
        <w:rPr>
          <w:rFonts w:hint="eastAsia" w:ascii="宋体" w:hAnsi="宋体"/>
          <w:color w:val="000000" w:themeColor="text1"/>
          <w:kern w:val="2"/>
          <w:szCs w:val="21"/>
          <w:lang w:val="en-US" w:eastAsia="zh-CN"/>
          <w14:textFill>
            <w14:solidFill>
              <w14:schemeClr w14:val="tx1"/>
            </w14:solidFill>
          </w14:textFill>
        </w:rPr>
        <w:t>为潜油泵式</w:t>
      </w:r>
      <w:r>
        <w:rPr>
          <w:rFonts w:hint="eastAsia" w:ascii="宋体"/>
          <w:color w:val="auto"/>
        </w:rPr>
        <w:t>；</w:t>
      </w:r>
      <w:r>
        <w:rPr>
          <w:rFonts w:hint="eastAsia" w:ascii="宋体" w:hAnsi="宋体"/>
          <w:szCs w:val="28"/>
        </w:rPr>
        <w:t>油罐区</w:t>
      </w:r>
      <w:r>
        <w:rPr>
          <w:rFonts w:hint="eastAsia"/>
        </w:rPr>
        <w:t>布置在站房</w:t>
      </w:r>
      <w:r>
        <w:rPr>
          <w:rFonts w:hint="eastAsia"/>
          <w:lang w:val="en-US" w:eastAsia="zh-CN"/>
        </w:rPr>
        <w:t>南</w:t>
      </w:r>
      <w:r>
        <w:rPr>
          <w:rFonts w:hint="eastAsia"/>
        </w:rPr>
        <w:t>侧，</w:t>
      </w:r>
      <w:r>
        <w:rPr>
          <w:rFonts w:hint="eastAsia" w:ascii="宋体"/>
          <w:color w:val="auto"/>
          <w:lang w:val="en-US" w:eastAsia="zh-CN"/>
        </w:rPr>
        <w:t>其</w:t>
      </w:r>
      <w:r>
        <w:rPr>
          <w:rFonts w:hint="eastAsia" w:ascii="宋体" w:hAnsi="宋体"/>
          <w:color w:val="auto"/>
          <w:szCs w:val="28"/>
        </w:rPr>
        <w:t>油罐</w:t>
      </w:r>
      <w:r>
        <w:rPr>
          <w:rFonts w:hint="eastAsia" w:ascii="宋体" w:hAnsi="宋体"/>
          <w:color w:val="auto"/>
          <w:szCs w:val="28"/>
          <w:lang w:val="en-US" w:eastAsia="zh-CN"/>
        </w:rPr>
        <w:t>采用卧式直埋（1</w:t>
      </w:r>
      <w:r>
        <w:rPr>
          <w:rFonts w:hint="eastAsia" w:ascii="宋体"/>
          <w:color w:val="auto"/>
        </w:rPr>
        <w:t>台</w:t>
      </w:r>
      <w:r>
        <w:rPr>
          <w:rFonts w:hint="eastAsia" w:ascii="宋体"/>
          <w:color w:val="auto"/>
          <w:lang w:val="en-US" w:eastAsia="zh-CN"/>
        </w:rPr>
        <w:t>25</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92#</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20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95#</w:t>
      </w:r>
      <w:r>
        <w:rPr>
          <w:rFonts w:hint="eastAsia" w:ascii="宋体"/>
          <w:color w:val="auto"/>
        </w:rPr>
        <w:t>汽油罐</w:t>
      </w:r>
      <w:r>
        <w:rPr>
          <w:rFonts w:hint="eastAsia" w:ascii="宋体"/>
          <w:color w:val="auto"/>
          <w:lang w:eastAsia="zh-CN"/>
        </w:rPr>
        <w:t>、</w:t>
      </w:r>
      <w:r>
        <w:rPr>
          <w:rFonts w:hint="eastAsia" w:ascii="宋体"/>
          <w:color w:val="auto"/>
          <w:lang w:val="en-US" w:eastAsia="zh-CN"/>
        </w:rPr>
        <w:t>2</w:t>
      </w:r>
      <w:r>
        <w:rPr>
          <w:rFonts w:hint="eastAsia" w:ascii="宋体"/>
          <w:color w:val="auto"/>
        </w:rPr>
        <w:t>台</w:t>
      </w:r>
      <w:r>
        <w:rPr>
          <w:rFonts w:hint="eastAsia" w:ascii="宋体"/>
          <w:color w:val="auto"/>
          <w:lang w:val="en-US" w:eastAsia="zh-CN"/>
        </w:rPr>
        <w:t>4</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rPr>
        <w:t>柴油罐</w:t>
      </w:r>
      <w:r>
        <w:rPr>
          <w:rFonts w:hint="eastAsia" w:ascii="宋体"/>
          <w:color w:val="auto"/>
          <w:lang w:eastAsia="zh-CN"/>
        </w:rPr>
        <w:t>），</w:t>
      </w:r>
      <w:r>
        <w:rPr>
          <w:rFonts w:hint="eastAsia" w:ascii="宋体"/>
          <w:color w:val="auto"/>
          <w:lang w:val="en-US" w:eastAsia="zh-CN"/>
        </w:rPr>
        <w:t>汽</w:t>
      </w:r>
      <w:r>
        <w:rPr>
          <w:rFonts w:hint="eastAsia" w:ascii="宋体"/>
          <w:color w:val="auto"/>
        </w:rPr>
        <w:t>油、柴油卸油口均位于</w:t>
      </w:r>
      <w:r>
        <w:rPr>
          <w:rFonts w:hint="eastAsia" w:ascii="宋体"/>
          <w:color w:val="auto"/>
          <w:lang w:val="en-US" w:eastAsia="zh-CN"/>
        </w:rPr>
        <w:t>油罐区北侧，</w:t>
      </w:r>
      <w:r>
        <w:rPr>
          <w:rFonts w:hint="eastAsia" w:ascii="宋体"/>
          <w:color w:val="auto"/>
        </w:rPr>
        <w:t>罐区共有通气管</w:t>
      </w:r>
      <w:r>
        <w:rPr>
          <w:rFonts w:hint="eastAsia" w:ascii="宋体"/>
          <w:color w:val="auto"/>
          <w:lang w:val="en-US" w:eastAsia="zh-CN"/>
        </w:rPr>
        <w:t>4</w:t>
      </w:r>
      <w:r>
        <w:rPr>
          <w:rFonts w:hint="eastAsia" w:ascii="宋体"/>
          <w:color w:val="auto"/>
        </w:rPr>
        <w:t>根</w:t>
      </w:r>
      <w:r>
        <w:rPr>
          <w:rFonts w:hint="eastAsia" w:ascii="宋体"/>
          <w:color w:val="auto"/>
          <w:lang w:eastAsia="zh-CN"/>
        </w:rPr>
        <w:t>（</w:t>
      </w:r>
      <w:r>
        <w:rPr>
          <w:rFonts w:hint="eastAsia" w:ascii="宋体"/>
          <w:color w:val="auto"/>
          <w:lang w:val="en-US" w:eastAsia="zh-CN"/>
        </w:rPr>
        <w:t>三次</w:t>
      </w:r>
      <w:r>
        <w:rPr>
          <w:rFonts w:hint="eastAsia" w:ascii="宋体"/>
          <w:color w:val="auto"/>
        </w:rPr>
        <w:t>油气回收装置</w:t>
      </w:r>
      <w:r>
        <w:rPr>
          <w:rFonts w:hint="eastAsia" w:ascii="宋体"/>
          <w:color w:val="auto"/>
          <w:lang w:val="en-US" w:eastAsia="zh-CN"/>
        </w:rPr>
        <w:t>1</w:t>
      </w:r>
      <w:r>
        <w:rPr>
          <w:rFonts w:hint="eastAsia" w:ascii="宋体"/>
          <w:color w:val="auto"/>
        </w:rPr>
        <w:t>根</w:t>
      </w:r>
      <w:r>
        <w:rPr>
          <w:rFonts w:hint="eastAsia" w:ascii="宋体"/>
          <w:color w:val="auto"/>
          <w:lang w:eastAsia="zh-CN"/>
        </w:rPr>
        <w:t>）</w:t>
      </w:r>
      <w:r>
        <w:rPr>
          <w:rFonts w:hint="eastAsia" w:ascii="宋体"/>
          <w:color w:val="auto"/>
        </w:rPr>
        <w:t>；该站汽油设有卸油油气回收系统、加油油气回收系统及油气</w:t>
      </w:r>
      <w:r>
        <w:rPr>
          <w:rFonts w:hint="eastAsia" w:ascii="宋体"/>
          <w:color w:val="auto"/>
          <w:lang w:val="en-US" w:eastAsia="zh-CN"/>
        </w:rPr>
        <w:t>回收</w:t>
      </w:r>
      <w:r>
        <w:rPr>
          <w:rFonts w:hint="eastAsia" w:ascii="宋体"/>
          <w:color w:val="auto"/>
        </w:rPr>
        <w:t>处理装置（三次油气回收系统）；按《汽车加油加气加氢站技术标准》GB50156-2021标准规定：V=</w:t>
      </w:r>
      <w:r>
        <w:rPr>
          <w:rFonts w:hint="eastAsia" w:ascii="宋体"/>
          <w:color w:val="auto"/>
          <w:lang w:val="en-US" w:eastAsia="zh-CN"/>
        </w:rPr>
        <w:t>45</w:t>
      </w:r>
      <w:r>
        <w:rPr>
          <w:rFonts w:hint="eastAsia" w:ascii="宋体"/>
          <w:color w:val="auto"/>
        </w:rPr>
        <w:t>+</w:t>
      </w:r>
      <w:r>
        <w:rPr>
          <w:rFonts w:hint="eastAsia" w:ascii="宋体"/>
          <w:color w:val="auto"/>
          <w:lang w:val="en-US" w:eastAsia="zh-CN"/>
        </w:rPr>
        <w:t>80</w:t>
      </w:r>
      <w:r>
        <w:rPr>
          <w:rFonts w:hint="eastAsia" w:ascii="宋体"/>
          <w:color w:val="auto"/>
        </w:rPr>
        <w:t>/2=</w:t>
      </w:r>
      <w:r>
        <w:rPr>
          <w:rFonts w:hint="eastAsia" w:ascii="宋体"/>
          <w:color w:val="auto"/>
          <w:lang w:val="en-US" w:eastAsia="zh-CN"/>
        </w:rPr>
        <w:t>85</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三</w:t>
      </w:r>
      <w:r>
        <w:rPr>
          <w:rFonts w:hint="eastAsia" w:ascii="宋体"/>
          <w:color w:val="auto"/>
        </w:rPr>
        <w:t>级加油站。</w:t>
      </w:r>
    </w:p>
    <w:p w14:paraId="0DC897EC">
      <w:pPr>
        <w:pStyle w:val="12"/>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3191"/>
        <w:gridCol w:w="3199"/>
      </w:tblGrid>
      <w:tr w14:paraId="45151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noWrap w:val="0"/>
            <w:vAlign w:val="center"/>
          </w:tcPr>
          <w:p w14:paraId="6E3B5DD9">
            <w:pPr>
              <w:pStyle w:val="13"/>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noWrap w:val="0"/>
            <w:vAlign w:val="center"/>
          </w:tcPr>
          <w:p w14:paraId="3C214925">
            <w:pPr>
              <w:pStyle w:val="13"/>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2E6D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noWrap w:val="0"/>
            <w:vAlign w:val="center"/>
          </w:tcPr>
          <w:p w14:paraId="58CA53CA">
            <w:pPr>
              <w:pStyle w:val="13"/>
              <w:widowControl w:val="0"/>
              <w:spacing w:line="360" w:lineRule="auto"/>
              <w:rPr>
                <w:rFonts w:ascii="宋体" w:hAnsi="宋体"/>
                <w:b/>
                <w:bCs/>
                <w:color w:val="auto"/>
              </w:rPr>
            </w:pPr>
          </w:p>
        </w:tc>
        <w:tc>
          <w:tcPr>
            <w:tcW w:w="1667" w:type="pct"/>
            <w:noWrap w:val="0"/>
            <w:vAlign w:val="center"/>
          </w:tcPr>
          <w:p w14:paraId="22A8489F">
            <w:pPr>
              <w:pStyle w:val="13"/>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noWrap w:val="0"/>
            <w:vAlign w:val="center"/>
          </w:tcPr>
          <w:p w14:paraId="6BEC6573">
            <w:pPr>
              <w:pStyle w:val="13"/>
              <w:widowControl w:val="0"/>
              <w:spacing w:line="360" w:lineRule="auto"/>
              <w:rPr>
                <w:rFonts w:ascii="宋体" w:hAnsi="宋体"/>
                <w:b/>
                <w:bCs/>
                <w:color w:val="auto"/>
              </w:rPr>
            </w:pPr>
            <w:r>
              <w:rPr>
                <w:rFonts w:ascii="宋体" w:hAnsi="宋体"/>
                <w:b/>
                <w:bCs/>
                <w:color w:val="auto"/>
              </w:rPr>
              <w:t>单罐容积</w:t>
            </w:r>
          </w:p>
        </w:tc>
      </w:tr>
      <w:tr w14:paraId="4EC9C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0735FD1B">
            <w:pPr>
              <w:pStyle w:val="13"/>
              <w:widowControl w:val="0"/>
              <w:spacing w:line="360" w:lineRule="auto"/>
              <w:rPr>
                <w:rFonts w:ascii="宋体" w:hAnsi="宋体"/>
                <w:color w:val="auto"/>
              </w:rPr>
            </w:pPr>
            <w:r>
              <w:rPr>
                <w:rFonts w:ascii="宋体" w:hAnsi="宋体"/>
                <w:color w:val="auto"/>
              </w:rPr>
              <w:t>一级</w:t>
            </w:r>
          </w:p>
        </w:tc>
        <w:tc>
          <w:tcPr>
            <w:tcW w:w="1667" w:type="pct"/>
            <w:noWrap w:val="0"/>
            <w:vAlign w:val="center"/>
          </w:tcPr>
          <w:p w14:paraId="2C3E3F00">
            <w:pPr>
              <w:pStyle w:val="13"/>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noWrap w:val="0"/>
            <w:vAlign w:val="center"/>
          </w:tcPr>
          <w:p w14:paraId="5D4FD7E2">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0178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18DA6D79">
            <w:pPr>
              <w:pStyle w:val="13"/>
              <w:widowControl w:val="0"/>
              <w:spacing w:line="360" w:lineRule="auto"/>
              <w:rPr>
                <w:rFonts w:ascii="宋体" w:hAnsi="宋体"/>
                <w:color w:val="auto"/>
              </w:rPr>
            </w:pPr>
            <w:r>
              <w:rPr>
                <w:rFonts w:ascii="宋体" w:hAnsi="宋体"/>
                <w:color w:val="auto"/>
              </w:rPr>
              <w:t>二级</w:t>
            </w:r>
          </w:p>
        </w:tc>
        <w:tc>
          <w:tcPr>
            <w:tcW w:w="1667" w:type="pct"/>
            <w:noWrap w:val="0"/>
            <w:vAlign w:val="center"/>
          </w:tcPr>
          <w:p w14:paraId="2C13DA48">
            <w:pPr>
              <w:pStyle w:val="13"/>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noWrap w:val="0"/>
            <w:vAlign w:val="center"/>
          </w:tcPr>
          <w:p w14:paraId="2522520D">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3AA24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2D0AA454">
            <w:pPr>
              <w:pStyle w:val="13"/>
              <w:widowControl w:val="0"/>
              <w:spacing w:line="360" w:lineRule="auto"/>
              <w:rPr>
                <w:rFonts w:ascii="宋体" w:hAnsi="宋体"/>
                <w:color w:val="auto"/>
              </w:rPr>
            </w:pPr>
            <w:r>
              <w:rPr>
                <w:rFonts w:ascii="宋体" w:hAnsi="宋体"/>
                <w:color w:val="auto"/>
              </w:rPr>
              <w:t>三级</w:t>
            </w:r>
          </w:p>
        </w:tc>
        <w:tc>
          <w:tcPr>
            <w:tcW w:w="1667" w:type="pct"/>
            <w:noWrap w:val="0"/>
            <w:vAlign w:val="center"/>
          </w:tcPr>
          <w:p w14:paraId="3CF339A0">
            <w:pPr>
              <w:pStyle w:val="13"/>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noWrap w:val="0"/>
            <w:vAlign w:val="center"/>
          </w:tcPr>
          <w:p w14:paraId="1BBD070B">
            <w:pPr>
              <w:pStyle w:val="13"/>
              <w:widowControl w:val="0"/>
              <w:spacing w:line="360" w:lineRule="auto"/>
              <w:rPr>
                <w:rFonts w:ascii="宋体" w:hAnsi="宋体"/>
                <w:color w:val="auto"/>
              </w:rPr>
            </w:pPr>
            <w:r>
              <w:rPr>
                <w:rFonts w:hint="eastAsia" w:ascii="宋体" w:hAnsi="宋体"/>
                <w:color w:val="auto"/>
                <w:lang w:eastAsia="zh-CN"/>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4392CB8D">
      <w:pPr>
        <w:pStyle w:val="14"/>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7D07E71F">
      <w:pPr>
        <w:pStyle w:val="10"/>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39EC36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加油站于20</w:t>
      </w:r>
      <w:r>
        <w:rPr>
          <w:rFonts w:hint="eastAsia" w:ascii="宋体" w:cs="Times New Roman"/>
          <w:color w:val="000000" w:themeColor="text1"/>
          <w:kern w:val="0"/>
          <w:sz w:val="28"/>
          <w:szCs w:val="20"/>
          <w:lang w:val="en-US" w:eastAsia="zh-CN" w:bidi="ar-SA"/>
          <w14:textFill>
            <w14:solidFill>
              <w14:schemeClr w14:val="tx1"/>
            </w14:solidFill>
          </w14:textFill>
        </w:rPr>
        <w:t>10</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年</w:t>
      </w:r>
      <w:r>
        <w:rPr>
          <w:rFonts w:hint="eastAsia" w:ascii="宋体" w:cs="Times New Roman"/>
          <w:color w:val="000000" w:themeColor="text1"/>
          <w:kern w:val="0"/>
          <w:sz w:val="28"/>
          <w:szCs w:val="20"/>
          <w:lang w:val="en-US" w:eastAsia="zh-CN" w:bidi="ar-SA"/>
          <w14:textFill>
            <w14:solidFill>
              <w14:schemeClr w14:val="tx1"/>
            </w14:solidFill>
          </w14:textFill>
        </w:rPr>
        <w:t>12</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月</w:t>
      </w:r>
      <w:r>
        <w:rPr>
          <w:rFonts w:hint="eastAsia" w:ascii="宋体" w:cs="Times New Roman"/>
          <w:color w:val="000000" w:themeColor="text1"/>
          <w:kern w:val="0"/>
          <w:sz w:val="28"/>
          <w:szCs w:val="20"/>
          <w:lang w:val="en-US" w:eastAsia="zh-CN" w:bidi="ar-SA"/>
          <w14:textFill>
            <w14:solidFill>
              <w14:schemeClr w14:val="tx1"/>
            </w14:solidFill>
          </w14:textFill>
        </w:rPr>
        <w:t>01</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日取得了</w:t>
      </w:r>
      <w:r>
        <w:rPr>
          <w:rFonts w:hint="eastAsia" w:ascii="宋体" w:cs="Times New Roman"/>
          <w:color w:val="000000" w:themeColor="text1"/>
          <w:kern w:val="0"/>
          <w:sz w:val="28"/>
          <w:szCs w:val="20"/>
          <w:lang w:val="en-US" w:eastAsia="zh-CN" w:bidi="ar-SA"/>
          <w14:textFill>
            <w14:solidFill>
              <w14:schemeClr w14:val="tx1"/>
            </w14:solidFill>
          </w14:textFill>
        </w:rPr>
        <w:t>泰安</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市公安</w:t>
      </w:r>
      <w:r>
        <w:rPr>
          <w:rFonts w:hint="eastAsia" w:ascii="宋体" w:cs="Times New Roman"/>
          <w:color w:val="000000" w:themeColor="text1"/>
          <w:kern w:val="0"/>
          <w:sz w:val="28"/>
          <w:szCs w:val="20"/>
          <w:lang w:val="en-US" w:eastAsia="zh-CN" w:bidi="ar-SA"/>
          <w14:textFill>
            <w14:solidFill>
              <w14:schemeClr w14:val="tx1"/>
            </w14:solidFill>
          </w14:textFill>
        </w:rPr>
        <w:t>消防分局</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出具的</w:t>
      </w:r>
      <w:r>
        <w:rPr>
          <w:rFonts w:hint="eastAsia" w:ascii="宋体" w:hAnsi="宋体"/>
          <w:color w:val="000000" w:themeColor="text1"/>
          <w:sz w:val="28"/>
          <w:szCs w:val="28"/>
          <w:lang w:val="en-US" w:eastAsia="zh-CN"/>
          <w14:textFill>
            <w14:solidFill>
              <w14:schemeClr w14:val="tx1"/>
            </w14:solidFill>
          </w14:textFill>
        </w:rPr>
        <w:t>《建设工程消防验收意见书》，编号：泰公消验[2010]第0048号，详见附件。</w:t>
      </w:r>
    </w:p>
    <w:p w14:paraId="1B5A022A">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加油站取得了《国有土地使用证》，编号为鲁（2019）肥城市不动产权第0012667号，使用期限为2011年07月28日至2051年07月28日，详见附件。</w:t>
      </w:r>
    </w:p>
    <w:p w14:paraId="676007BD">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bookmarkStart w:id="13" w:name="_Hlk508440011"/>
      <w:r>
        <w:rPr>
          <w:rFonts w:hint="eastAsia" w:ascii="宋体" w:hAnsi="宋体"/>
          <w:color w:val="000000" w:themeColor="text1"/>
          <w:sz w:val="28"/>
          <w:szCs w:val="28"/>
          <w:lang w:val="en-US" w:eastAsia="zh-CN"/>
          <w14:textFill>
            <w14:solidFill>
              <w14:schemeClr w14:val="tx1"/>
            </w14:solidFill>
          </w14:textFill>
        </w:rPr>
        <w:t>加油站于2021年07月20日换发了《成品油零售经营批准证书》，证书编号：鲁油零售证书第3709063047号，证书有效期至2026年07月20日，证书见附件。</w:t>
      </w:r>
    </w:p>
    <w:p w14:paraId="03C5B20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加油站于2022年01月19换发了《危险化学品经营许可证》，证书编号：鲁泰危化经[2022]040042号，证书有效期至2025年02月27日，证书见附件。</w:t>
      </w:r>
    </w:p>
    <w:bookmarkEnd w:id="13"/>
    <w:p w14:paraId="37F2E5AB">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山东天科防雷工程有限公司对该站进行了相关防雷设施的检测，出具了合格的《雷电防护装置定期检测报告》，报告编号：（1122016001）[2024]TAFC-0187号，防雷类别：二类，结论为“雷电防护装置符合现行国家防雷规范标准要求”，有效期2024年06月08日至2024年12月07日，检测报告见附件。</w:t>
      </w:r>
    </w:p>
    <w:p w14:paraId="5F9B310C">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该站编制了生产安全事故应急预案，于2024年07月29日在肥城市应急管理局进行了备案，备案编号为：370983-2024-W050，详见附件。</w:t>
      </w:r>
    </w:p>
    <w:p w14:paraId="69E05BD9">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该站在泰山财产保险股份有限公司投保安全生产责任保险，保单号为2011051004582024000008，保险期限2024年03月16日至2025年03月15日，站内人员为5人，实际投保9人。详见附件。</w:t>
      </w:r>
    </w:p>
    <w:p w14:paraId="7F8710C0">
      <w:pPr>
        <w:adjustRightInd w:val="0"/>
        <w:snapToGrid w:val="0"/>
        <w:spacing w:line="360" w:lineRule="auto"/>
        <w:ind w:firstLine="560" w:firstLineChars="200"/>
        <w:rPr>
          <w:rFonts w:hint="default" w:ascii="宋体" w:hAnsi="宋体"/>
          <w:color w:val="auto"/>
          <w:sz w:val="28"/>
          <w:szCs w:val="28"/>
          <w:lang w:val="en-US" w:eastAsia="zh-CN"/>
        </w:rPr>
      </w:pPr>
      <w:r>
        <w:rPr>
          <w:rFonts w:hint="eastAsia" w:ascii="宋体" w:hAnsi="宋体"/>
          <w:color w:val="auto"/>
          <w:sz w:val="28"/>
          <w:szCs w:val="28"/>
          <w:lang w:val="en-US" w:eastAsia="zh-CN"/>
        </w:rPr>
        <w:t>山东百纳电子设备有限公司于2024年03月对该站的可燃气体探测器进行了检验，测试结果为合格，有效期至2025年03月，详见报告。</w:t>
      </w:r>
    </w:p>
    <w:p w14:paraId="7FF29504">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该站建立健全了安全生产责任制、安全生产规章制度和安全操作规程，执行情况较好。</w:t>
      </w:r>
    </w:p>
    <w:p w14:paraId="23B8B919">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auto"/>
          <w:sz w:val="28"/>
          <w:szCs w:val="28"/>
          <w:lang w:val="en-US" w:eastAsia="zh-CN"/>
        </w:rPr>
        <w:t>该站各项安全管理制度基本健全，有生产经营单位生产事故应急预案，</w:t>
      </w:r>
      <w:r>
        <w:rPr>
          <w:rFonts w:hint="eastAsia" w:ascii="宋体" w:hAnsi="宋体"/>
          <w:color w:val="000000" w:themeColor="text1"/>
          <w:sz w:val="28"/>
          <w:szCs w:val="28"/>
          <w:lang w:val="en-US" w:eastAsia="zh-CN"/>
          <w14:textFill>
            <w14:solidFill>
              <w14:schemeClr w14:val="tx1"/>
            </w14:solidFill>
          </w14:textFill>
        </w:rPr>
        <w:t>并定期进行应急救援演练。该加油站消防器材配备齐全，加油站配备了35kg推车式干粉灭火器1具，8kg手提式干粉灭火器6具，CO</w:t>
      </w:r>
      <w:r>
        <w:rPr>
          <w:rFonts w:hint="eastAsia" w:ascii="宋体" w:hAnsi="宋体"/>
          <w:color w:val="000000" w:themeColor="text1"/>
          <w:sz w:val="28"/>
          <w:szCs w:val="28"/>
          <w:vertAlign w:val="subscript"/>
          <w:lang w:val="en-US" w:eastAsia="zh-CN"/>
          <w14:textFill>
            <w14:solidFill>
              <w14:schemeClr w14:val="tx1"/>
            </w14:solidFill>
          </w14:textFill>
        </w:rPr>
        <w:t>2</w:t>
      </w:r>
      <w:r>
        <w:rPr>
          <w:rFonts w:hint="eastAsia" w:ascii="宋体" w:hAnsi="宋体"/>
          <w:color w:val="000000" w:themeColor="text1"/>
          <w:sz w:val="28"/>
          <w:szCs w:val="28"/>
          <w:lang w:val="en-US" w:eastAsia="zh-CN"/>
          <w14:textFill>
            <w14:solidFill>
              <w14:schemeClr w14:val="tx1"/>
            </w14:solidFill>
          </w14:textFill>
        </w:rPr>
        <w:t>灭火器2具，灭火毯3块，消防锨5把，消防桶4个，消防沙池2m</w:t>
      </w:r>
      <w:r>
        <w:rPr>
          <w:rFonts w:hint="eastAsia" w:ascii="宋体" w:hAnsi="宋体"/>
          <w:color w:val="000000" w:themeColor="text1"/>
          <w:sz w:val="28"/>
          <w:szCs w:val="28"/>
          <w:vertAlign w:val="superscript"/>
          <w:lang w:val="en-US" w:eastAsia="zh-CN"/>
          <w14:textFill>
            <w14:solidFill>
              <w14:schemeClr w14:val="tx1"/>
            </w14:solidFill>
          </w14:textFill>
        </w:rPr>
        <w:t>3</w:t>
      </w:r>
      <w:r>
        <w:rPr>
          <w:rFonts w:hint="eastAsia" w:ascii="宋体" w:hAnsi="宋体"/>
          <w:color w:val="000000" w:themeColor="text1"/>
          <w:sz w:val="28"/>
          <w:szCs w:val="28"/>
          <w:lang w:val="en-US" w:eastAsia="zh-CN"/>
          <w14:textFill>
            <w14:solidFill>
              <w14:schemeClr w14:val="tx1"/>
            </w14:solidFill>
          </w14:textFill>
        </w:rPr>
        <w:t>。</w:t>
      </w:r>
    </w:p>
    <w:p w14:paraId="2A342854">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该加油站按功能分区布置，有油罐区、加油区、站房，布置较合理。</w:t>
      </w:r>
    </w:p>
    <w:p w14:paraId="3AE465BD">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站房地上二层（砖混），罩棚为钢架结构。该站基本情况见下表2.1-2</w:t>
      </w:r>
      <w:r>
        <w:rPr>
          <w:rFonts w:ascii="宋体"/>
          <w:color w:val="auto"/>
        </w:rPr>
        <w:t>。</w:t>
      </w:r>
      <w:r>
        <w:rPr>
          <w:rFonts w:hint="eastAsia" w:ascii="宋体"/>
          <w:color w:val="auto"/>
        </w:rPr>
        <w:t xml:space="preserve">                                                                                                                                                                                                                                                                                                                                                                                                                                                                                                                                                                                                                                                                                                                                                                                                                                                                                                                                                                                                                                                                                                                                                                                                                                                                                                                                                                                                                                                                                                                                                                                                                                                                                                                                                                                                                                                                                                                                                                                                                                                                                                                                                                                                                                                                                                                                                                                                                                                                                                                                                                                                                                                                                                                                                                                                                                                                                                                                                                                                                                                                                                                                                                                                                                                                                                                                                                  </w:t>
      </w:r>
    </w:p>
    <w:p w14:paraId="5BD8C37E">
      <w:pPr>
        <w:pStyle w:val="12"/>
        <w:widowControl w:val="0"/>
        <w:outlineLvl w:val="9"/>
        <w:rPr>
          <w:rFonts w:ascii="黑体" w:hAnsi="黑体"/>
          <w:color w:val="auto"/>
        </w:rPr>
      </w:pPr>
      <w:r>
        <w:rPr>
          <w:rFonts w:ascii="黑体" w:hAnsi="黑体"/>
          <w:color w:val="auto"/>
        </w:rPr>
        <w:t>表2.1-2 加油站基本情况表</w:t>
      </w:r>
    </w:p>
    <w:tbl>
      <w:tblPr>
        <w:tblStyle w:val="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68"/>
        <w:gridCol w:w="1470"/>
        <w:gridCol w:w="994"/>
        <w:gridCol w:w="128"/>
        <w:gridCol w:w="1317"/>
        <w:gridCol w:w="191"/>
        <w:gridCol w:w="1407"/>
        <w:gridCol w:w="1049"/>
        <w:gridCol w:w="167"/>
        <w:gridCol w:w="1380"/>
      </w:tblGrid>
      <w:tr w14:paraId="0EA66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78843C78">
            <w:pPr>
              <w:pStyle w:val="13"/>
              <w:widowControl w:val="0"/>
              <w:spacing w:line="360" w:lineRule="auto"/>
              <w:rPr>
                <w:rFonts w:hint="eastAsia" w:ascii="宋体" w:hAnsi="宋体" w:cs="宋体"/>
                <w:color w:val="auto"/>
              </w:rPr>
            </w:pPr>
            <w:r>
              <w:rPr>
                <w:rFonts w:hint="eastAsia" w:ascii="宋体" w:hAnsi="宋体" w:cs="宋体"/>
                <w:color w:val="auto"/>
              </w:rPr>
              <w:t>企业名称</w:t>
            </w:r>
          </w:p>
        </w:tc>
        <w:tc>
          <w:tcPr>
            <w:tcW w:w="4232" w:type="pct"/>
            <w:gridSpan w:val="9"/>
            <w:noWrap w:val="0"/>
            <w:vAlign w:val="center"/>
          </w:tcPr>
          <w:p w14:paraId="7D36747D">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lang w:val="en-US" w:eastAsia="zh-CN"/>
              </w:rPr>
              <w:t>肥城市汶阳加油站</w:t>
            </w:r>
          </w:p>
        </w:tc>
      </w:tr>
      <w:tr w14:paraId="2C0E4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7031DF2E">
            <w:pPr>
              <w:pStyle w:val="13"/>
              <w:widowControl w:val="0"/>
              <w:spacing w:line="360" w:lineRule="auto"/>
              <w:rPr>
                <w:rFonts w:hint="eastAsia" w:ascii="宋体" w:hAnsi="宋体" w:cs="宋体"/>
                <w:color w:val="auto"/>
              </w:rPr>
            </w:pPr>
            <w:r>
              <w:rPr>
                <w:rFonts w:hint="eastAsia" w:ascii="宋体" w:hAnsi="宋体" w:cs="宋体"/>
                <w:color w:val="auto"/>
              </w:rPr>
              <w:t>注册地址</w:t>
            </w:r>
          </w:p>
        </w:tc>
        <w:tc>
          <w:tcPr>
            <w:tcW w:w="4232" w:type="pct"/>
            <w:gridSpan w:val="9"/>
            <w:noWrap w:val="0"/>
            <w:vAlign w:val="center"/>
          </w:tcPr>
          <w:p w14:paraId="106301E2">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汶阳镇吴店镇卫生院南1200米处汶河路东侧</w:t>
            </w:r>
          </w:p>
        </w:tc>
      </w:tr>
      <w:tr w14:paraId="0EBF2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13FA23D5">
            <w:pPr>
              <w:pStyle w:val="13"/>
              <w:widowControl w:val="0"/>
              <w:spacing w:line="360" w:lineRule="auto"/>
              <w:rPr>
                <w:rFonts w:hint="eastAsia" w:ascii="宋体" w:hAnsi="宋体" w:cs="宋体"/>
                <w:color w:val="auto"/>
              </w:rPr>
            </w:pPr>
            <w:r>
              <w:rPr>
                <w:rFonts w:hint="eastAsia" w:ascii="宋体" w:hAnsi="宋体" w:cs="宋体"/>
                <w:color w:val="auto"/>
              </w:rPr>
              <w:t>电话</w:t>
            </w:r>
          </w:p>
        </w:tc>
        <w:tc>
          <w:tcPr>
            <w:tcW w:w="1287" w:type="pct"/>
            <w:gridSpan w:val="2"/>
            <w:noWrap w:val="0"/>
            <w:vAlign w:val="center"/>
          </w:tcPr>
          <w:p w14:paraId="19115652">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15264845014</w:t>
            </w:r>
          </w:p>
        </w:tc>
        <w:tc>
          <w:tcPr>
            <w:tcW w:w="854" w:type="pct"/>
            <w:gridSpan w:val="3"/>
            <w:noWrap w:val="0"/>
            <w:vAlign w:val="center"/>
          </w:tcPr>
          <w:p w14:paraId="1E60DD37">
            <w:pPr>
              <w:pStyle w:val="13"/>
              <w:widowControl w:val="0"/>
              <w:spacing w:line="360" w:lineRule="auto"/>
              <w:rPr>
                <w:rFonts w:hint="eastAsia" w:ascii="宋体" w:hAnsi="宋体" w:cs="宋体"/>
                <w:color w:val="auto"/>
              </w:rPr>
            </w:pPr>
            <w:r>
              <w:rPr>
                <w:rFonts w:hint="eastAsia" w:ascii="宋体" w:hAnsi="宋体" w:cs="宋体"/>
                <w:color w:val="auto"/>
              </w:rPr>
              <w:t>传 真</w:t>
            </w:r>
          </w:p>
        </w:tc>
        <w:tc>
          <w:tcPr>
            <w:tcW w:w="735" w:type="pct"/>
            <w:noWrap w:val="0"/>
            <w:vAlign w:val="center"/>
          </w:tcPr>
          <w:p w14:paraId="64F1ECD6">
            <w:pPr>
              <w:pStyle w:val="13"/>
              <w:widowControl w:val="0"/>
              <w:spacing w:line="360" w:lineRule="auto"/>
              <w:rPr>
                <w:rFonts w:hint="eastAsia" w:ascii="宋体" w:hAnsi="宋体" w:cs="宋体"/>
                <w:color w:val="auto"/>
              </w:rPr>
            </w:pPr>
            <w:r>
              <w:rPr>
                <w:rFonts w:hint="eastAsia" w:ascii="宋体" w:hAnsi="宋体" w:cs="宋体"/>
                <w:color w:val="auto"/>
              </w:rPr>
              <w:t>—</w:t>
            </w:r>
          </w:p>
        </w:tc>
        <w:tc>
          <w:tcPr>
            <w:tcW w:w="548" w:type="pct"/>
            <w:noWrap w:val="0"/>
            <w:vAlign w:val="center"/>
          </w:tcPr>
          <w:p w14:paraId="36FCC99A">
            <w:pPr>
              <w:pStyle w:val="13"/>
              <w:widowControl w:val="0"/>
              <w:spacing w:line="360" w:lineRule="auto"/>
              <w:rPr>
                <w:rFonts w:hint="eastAsia" w:ascii="宋体" w:hAnsi="宋体" w:cs="宋体"/>
                <w:color w:val="auto"/>
              </w:rPr>
            </w:pPr>
            <w:r>
              <w:rPr>
                <w:rFonts w:hint="eastAsia" w:ascii="宋体" w:hAnsi="宋体" w:cs="宋体"/>
                <w:color w:val="auto"/>
              </w:rPr>
              <w:t>邮政编码</w:t>
            </w:r>
          </w:p>
        </w:tc>
        <w:tc>
          <w:tcPr>
            <w:tcW w:w="806" w:type="pct"/>
            <w:gridSpan w:val="2"/>
            <w:noWrap w:val="0"/>
            <w:vAlign w:val="center"/>
          </w:tcPr>
          <w:p w14:paraId="3142AEE7">
            <w:pPr>
              <w:pStyle w:val="13"/>
              <w:widowControl w:val="0"/>
              <w:spacing w:line="360" w:lineRule="auto"/>
              <w:rPr>
                <w:rFonts w:hint="eastAsia" w:ascii="宋体" w:hAnsi="宋体" w:cs="宋体"/>
                <w:color w:val="auto"/>
              </w:rPr>
            </w:pPr>
            <w:r>
              <w:rPr>
                <w:rFonts w:hint="eastAsia" w:ascii="宋体" w:hAnsi="宋体" w:cs="宋体"/>
                <w:color w:val="auto"/>
              </w:rPr>
              <w:t>271</w:t>
            </w:r>
            <w:r>
              <w:rPr>
                <w:rFonts w:hint="eastAsia" w:ascii="宋体" w:hAnsi="宋体" w:cs="宋体"/>
                <w:color w:val="auto"/>
                <w:lang w:val="en-US" w:eastAsia="zh-CN"/>
              </w:rPr>
              <w:t>6</w:t>
            </w:r>
            <w:r>
              <w:rPr>
                <w:rFonts w:hint="eastAsia" w:ascii="宋体" w:hAnsi="宋体" w:cs="宋体"/>
                <w:color w:val="auto"/>
              </w:rPr>
              <w:t>00</w:t>
            </w:r>
          </w:p>
        </w:tc>
      </w:tr>
      <w:tr w14:paraId="2118A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1EA20BB3">
            <w:pPr>
              <w:pStyle w:val="13"/>
              <w:widowControl w:val="0"/>
              <w:spacing w:line="360" w:lineRule="auto"/>
              <w:rPr>
                <w:rFonts w:hint="eastAsia" w:ascii="宋体" w:hAnsi="宋体" w:cs="宋体"/>
                <w:color w:val="auto"/>
              </w:rPr>
            </w:pPr>
            <w:r>
              <w:rPr>
                <w:rFonts w:hint="eastAsia" w:ascii="宋体" w:hAnsi="宋体" w:cs="宋体"/>
                <w:color w:val="auto"/>
              </w:rPr>
              <w:t>经营产品</w:t>
            </w:r>
          </w:p>
        </w:tc>
        <w:tc>
          <w:tcPr>
            <w:tcW w:w="4232" w:type="pct"/>
            <w:gridSpan w:val="9"/>
            <w:noWrap w:val="0"/>
            <w:vAlign w:val="center"/>
          </w:tcPr>
          <w:p w14:paraId="50631658">
            <w:pPr>
              <w:pStyle w:val="13"/>
              <w:widowControl w:val="0"/>
              <w:spacing w:line="360" w:lineRule="auto"/>
              <w:rPr>
                <w:rFonts w:ascii="宋体" w:hAnsi="宋体" w:cs="宋体"/>
                <w:color w:val="auto"/>
              </w:rPr>
            </w:pPr>
            <w:r>
              <w:rPr>
                <w:rFonts w:hint="eastAsia" w:ascii="宋体" w:hAnsi="宋体" w:cs="宋体"/>
                <w:color w:val="auto"/>
              </w:rPr>
              <w:t>汽油、乙醇汽油、柴油</w:t>
            </w:r>
          </w:p>
        </w:tc>
      </w:tr>
      <w:tr w14:paraId="387F9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214C2F2C">
            <w:pPr>
              <w:pStyle w:val="13"/>
              <w:widowControl w:val="0"/>
              <w:spacing w:line="360" w:lineRule="auto"/>
              <w:rPr>
                <w:rFonts w:hint="eastAsia" w:ascii="宋体" w:hAnsi="宋体" w:cs="宋体"/>
                <w:color w:val="auto"/>
              </w:rPr>
            </w:pPr>
            <w:r>
              <w:rPr>
                <w:rFonts w:hint="eastAsia" w:ascii="宋体" w:hAnsi="宋体" w:cs="宋体"/>
                <w:color w:val="auto"/>
              </w:rPr>
              <w:t>登记机关</w:t>
            </w:r>
          </w:p>
        </w:tc>
        <w:tc>
          <w:tcPr>
            <w:tcW w:w="4232" w:type="pct"/>
            <w:gridSpan w:val="9"/>
            <w:noWrap w:val="0"/>
            <w:vAlign w:val="center"/>
          </w:tcPr>
          <w:p w14:paraId="28F66DE7">
            <w:pPr>
              <w:pStyle w:val="13"/>
              <w:widowControl w:val="0"/>
              <w:spacing w:line="360" w:lineRule="auto"/>
              <w:rPr>
                <w:rFonts w:hint="default" w:ascii="宋体" w:hAnsi="宋体" w:cs="宋体"/>
                <w:color w:val="auto"/>
                <w:lang w:val="en-US"/>
              </w:rPr>
            </w:pPr>
            <w:r>
              <w:rPr>
                <w:rFonts w:hint="eastAsia" w:ascii="宋体" w:hAnsi="宋体" w:cs="宋体"/>
                <w:color w:val="auto"/>
                <w:highlight w:val="none"/>
                <w:lang w:val="en-US" w:eastAsia="zh-CN"/>
              </w:rPr>
              <w:t>肥城市行政审批服务局</w:t>
            </w:r>
          </w:p>
        </w:tc>
      </w:tr>
      <w:tr w14:paraId="36E31B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4D6258B0">
            <w:pPr>
              <w:pStyle w:val="13"/>
              <w:widowControl w:val="0"/>
              <w:spacing w:line="360" w:lineRule="auto"/>
              <w:rPr>
                <w:rFonts w:hint="eastAsia" w:ascii="宋体" w:hAnsi="宋体" w:cs="宋体"/>
                <w:color w:val="auto"/>
              </w:rPr>
            </w:pPr>
            <w:r>
              <w:rPr>
                <w:rFonts w:hint="eastAsia" w:ascii="宋体" w:hAnsi="宋体" w:cs="宋体"/>
                <w:color w:val="auto"/>
              </w:rPr>
              <w:t>法定代表人</w:t>
            </w:r>
          </w:p>
        </w:tc>
        <w:tc>
          <w:tcPr>
            <w:tcW w:w="2042" w:type="pct"/>
            <w:gridSpan w:val="4"/>
            <w:noWrap w:val="0"/>
            <w:vAlign w:val="center"/>
          </w:tcPr>
          <w:p w14:paraId="1CDE015F">
            <w:pPr>
              <w:pStyle w:val="13"/>
              <w:widowControl w:val="0"/>
              <w:spacing w:line="360" w:lineRule="auto"/>
              <w:rPr>
                <w:rFonts w:hint="eastAsia" w:ascii="宋体" w:hAnsi="宋体" w:eastAsia="宋体" w:cs="宋体"/>
                <w:color w:val="auto"/>
                <w:lang w:val="en-US" w:eastAsia="zh-CN"/>
              </w:rPr>
            </w:pPr>
            <w:r>
              <w:rPr>
                <w:rFonts w:hint="eastAsia" w:ascii="宋体" w:hAnsi="宋体" w:cs="宋体"/>
                <w:color w:val="auto"/>
                <w:lang w:val="en-US" w:eastAsia="zh-CN"/>
              </w:rPr>
              <w:t>马广秀</w:t>
            </w:r>
          </w:p>
        </w:tc>
        <w:tc>
          <w:tcPr>
            <w:tcW w:w="835" w:type="pct"/>
            <w:gridSpan w:val="2"/>
            <w:noWrap w:val="0"/>
            <w:vAlign w:val="center"/>
          </w:tcPr>
          <w:p w14:paraId="54A8C171">
            <w:pPr>
              <w:pStyle w:val="13"/>
              <w:widowControl w:val="0"/>
              <w:spacing w:line="360" w:lineRule="auto"/>
              <w:rPr>
                <w:rFonts w:hint="eastAsia" w:ascii="宋体" w:hAnsi="宋体" w:cs="宋体"/>
                <w:color w:val="auto"/>
              </w:rPr>
            </w:pPr>
            <w:r>
              <w:rPr>
                <w:rFonts w:hint="eastAsia" w:ascii="宋体" w:hAnsi="宋体" w:cs="宋体"/>
                <w:color w:val="auto"/>
              </w:rPr>
              <w:t>站长</w:t>
            </w:r>
          </w:p>
        </w:tc>
        <w:tc>
          <w:tcPr>
            <w:tcW w:w="1355" w:type="pct"/>
            <w:gridSpan w:val="3"/>
            <w:noWrap w:val="0"/>
            <w:vAlign w:val="center"/>
          </w:tcPr>
          <w:p w14:paraId="07EDDCCF">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邱长友</w:t>
            </w:r>
          </w:p>
        </w:tc>
      </w:tr>
      <w:tr w14:paraId="16955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3CFC9803">
            <w:pPr>
              <w:pStyle w:val="13"/>
              <w:widowControl w:val="0"/>
              <w:spacing w:line="360" w:lineRule="auto"/>
              <w:rPr>
                <w:rFonts w:hint="eastAsia" w:ascii="宋体" w:hAnsi="宋体" w:cs="宋体"/>
                <w:color w:val="auto"/>
              </w:rPr>
            </w:pPr>
            <w:r>
              <w:rPr>
                <w:rFonts w:hint="eastAsia" w:ascii="宋体" w:hAnsi="宋体" w:cs="宋体"/>
                <w:color w:val="auto"/>
              </w:rPr>
              <w:t>职工人数</w:t>
            </w:r>
          </w:p>
        </w:tc>
        <w:tc>
          <w:tcPr>
            <w:tcW w:w="768" w:type="pct"/>
            <w:noWrap w:val="0"/>
            <w:vAlign w:val="center"/>
          </w:tcPr>
          <w:p w14:paraId="2941D6E8">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000000" w:themeColor="text1"/>
                <w:lang w:val="en-US" w:eastAsia="zh-CN"/>
                <w14:textFill>
                  <w14:solidFill>
                    <w14:schemeClr w14:val="tx1"/>
                  </w14:solidFill>
                </w14:textFill>
              </w:rPr>
              <w:t>5</w:t>
            </w:r>
          </w:p>
        </w:tc>
        <w:tc>
          <w:tcPr>
            <w:tcW w:w="1273" w:type="pct"/>
            <w:gridSpan w:val="3"/>
            <w:noWrap w:val="0"/>
            <w:vAlign w:val="center"/>
          </w:tcPr>
          <w:p w14:paraId="2930C2C9">
            <w:pPr>
              <w:pStyle w:val="13"/>
              <w:widowControl w:val="0"/>
              <w:spacing w:line="360" w:lineRule="auto"/>
              <w:rPr>
                <w:rFonts w:hint="eastAsia" w:ascii="宋体" w:hAnsi="宋体" w:cs="宋体"/>
                <w:color w:val="auto"/>
              </w:rPr>
            </w:pPr>
            <w:r>
              <w:rPr>
                <w:rFonts w:hint="eastAsia" w:ascii="宋体" w:hAnsi="宋体" w:cs="宋体"/>
                <w:color w:val="auto"/>
              </w:rPr>
              <w:t>站长</w:t>
            </w:r>
          </w:p>
        </w:tc>
        <w:tc>
          <w:tcPr>
            <w:tcW w:w="835" w:type="pct"/>
            <w:gridSpan w:val="2"/>
            <w:noWrap w:val="0"/>
            <w:vAlign w:val="center"/>
          </w:tcPr>
          <w:p w14:paraId="5FE3F79C">
            <w:pPr>
              <w:pStyle w:val="13"/>
              <w:widowControl w:val="0"/>
              <w:spacing w:line="360" w:lineRule="auto"/>
              <w:rPr>
                <w:rFonts w:hint="eastAsia" w:ascii="宋体" w:hAnsi="宋体" w:cs="宋体"/>
                <w:color w:val="auto"/>
              </w:rPr>
            </w:pPr>
            <w:r>
              <w:rPr>
                <w:rFonts w:hint="eastAsia" w:ascii="宋体" w:hAnsi="宋体" w:cs="宋体"/>
                <w:color w:val="auto"/>
              </w:rPr>
              <w:t>1</w:t>
            </w:r>
          </w:p>
        </w:tc>
        <w:tc>
          <w:tcPr>
            <w:tcW w:w="548" w:type="pct"/>
            <w:noWrap w:val="0"/>
            <w:vAlign w:val="center"/>
          </w:tcPr>
          <w:p w14:paraId="4D3B04EF">
            <w:pPr>
              <w:pStyle w:val="13"/>
              <w:widowControl w:val="0"/>
              <w:spacing w:line="360" w:lineRule="auto"/>
              <w:rPr>
                <w:rFonts w:hint="eastAsia" w:ascii="宋体" w:hAnsi="宋体" w:cs="宋体"/>
                <w:color w:val="auto"/>
              </w:rPr>
            </w:pPr>
            <w:r>
              <w:rPr>
                <w:rFonts w:hint="eastAsia" w:ascii="宋体" w:hAnsi="宋体" w:cs="宋体"/>
                <w:color w:val="auto"/>
              </w:rPr>
              <w:t>安全员</w:t>
            </w:r>
          </w:p>
        </w:tc>
        <w:tc>
          <w:tcPr>
            <w:tcW w:w="806" w:type="pct"/>
            <w:gridSpan w:val="2"/>
            <w:noWrap w:val="0"/>
            <w:vAlign w:val="center"/>
          </w:tcPr>
          <w:p w14:paraId="4C281553">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w:t>
            </w:r>
          </w:p>
        </w:tc>
      </w:tr>
      <w:tr w14:paraId="1030CD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4F4DB311">
            <w:pPr>
              <w:pStyle w:val="13"/>
              <w:widowControl w:val="0"/>
              <w:spacing w:line="360" w:lineRule="auto"/>
              <w:rPr>
                <w:rFonts w:hint="eastAsia" w:ascii="宋体" w:hAnsi="宋体" w:cs="宋体"/>
                <w:bCs/>
                <w:color w:val="auto"/>
              </w:rPr>
            </w:pPr>
            <w:r>
              <w:rPr>
                <w:rFonts w:hint="eastAsia" w:ascii="宋体" w:hAnsi="宋体" w:cs="宋体"/>
                <w:bCs/>
                <w:color w:val="auto"/>
              </w:rPr>
              <w:t>经营场所</w:t>
            </w:r>
          </w:p>
        </w:tc>
        <w:tc>
          <w:tcPr>
            <w:tcW w:w="768" w:type="pct"/>
            <w:noWrap w:val="0"/>
            <w:vAlign w:val="center"/>
          </w:tcPr>
          <w:p w14:paraId="1FDFA5D0">
            <w:pPr>
              <w:pStyle w:val="13"/>
              <w:widowControl w:val="0"/>
              <w:spacing w:line="360" w:lineRule="auto"/>
              <w:rPr>
                <w:rFonts w:hint="eastAsia" w:ascii="宋体" w:hAnsi="宋体" w:cs="宋体"/>
                <w:bCs/>
                <w:color w:val="auto"/>
              </w:rPr>
            </w:pPr>
            <w:r>
              <w:rPr>
                <w:rFonts w:hint="eastAsia" w:ascii="宋体" w:hAnsi="宋体" w:cs="宋体"/>
                <w:bCs/>
                <w:color w:val="auto"/>
              </w:rPr>
              <w:t>产  权</w:t>
            </w:r>
          </w:p>
        </w:tc>
        <w:tc>
          <w:tcPr>
            <w:tcW w:w="3463" w:type="pct"/>
            <w:gridSpan w:val="8"/>
            <w:noWrap w:val="0"/>
            <w:vAlign w:val="center"/>
          </w:tcPr>
          <w:p w14:paraId="1E3D8F75">
            <w:pPr>
              <w:pStyle w:val="13"/>
              <w:widowControl w:val="0"/>
              <w:spacing w:line="360" w:lineRule="auto"/>
              <w:rPr>
                <w:rFonts w:hint="eastAsia" w:ascii="宋体" w:hAnsi="宋体" w:cs="宋体"/>
                <w:bCs/>
                <w:color w:val="auto"/>
              </w:rPr>
            </w:pPr>
            <w:r>
              <w:rPr>
                <w:rFonts w:hint="eastAsia" w:ascii="宋体" w:hAnsi="宋体" w:cs="宋体"/>
                <w:bCs/>
                <w:color w:val="000000" w:themeColor="text1"/>
                <w:highlight w:val="none"/>
                <w14:textFill>
                  <w14:solidFill>
                    <w14:schemeClr w14:val="tx1"/>
                  </w14:solidFill>
                </w14:textFill>
              </w:rPr>
              <w:t>自有</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租赁</w:t>
            </w:r>
            <w:r>
              <w:rPr>
                <w:rFonts w:hint="eastAsia" w:ascii="Segoe UI Symbol" w:hAnsi="Segoe UI Symbol" w:cs="Segoe UI Symbol"/>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承包□</w:t>
            </w:r>
          </w:p>
        </w:tc>
      </w:tr>
      <w:tr w14:paraId="25C433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2D12C467">
            <w:pPr>
              <w:pStyle w:val="13"/>
              <w:widowControl w:val="0"/>
              <w:spacing w:line="360" w:lineRule="auto"/>
              <w:rPr>
                <w:rFonts w:hint="eastAsia" w:ascii="宋体" w:hAnsi="宋体" w:cs="宋体"/>
                <w:bCs/>
                <w:color w:val="auto"/>
              </w:rPr>
            </w:pPr>
          </w:p>
        </w:tc>
        <w:tc>
          <w:tcPr>
            <w:tcW w:w="768" w:type="pct"/>
            <w:noWrap w:val="0"/>
            <w:vAlign w:val="center"/>
          </w:tcPr>
          <w:p w14:paraId="055E959B">
            <w:pPr>
              <w:pStyle w:val="13"/>
              <w:widowControl w:val="0"/>
              <w:spacing w:line="360" w:lineRule="auto"/>
              <w:rPr>
                <w:rFonts w:hint="eastAsia" w:ascii="宋体" w:hAnsi="宋体" w:cs="宋体"/>
                <w:bCs/>
                <w:color w:val="auto"/>
              </w:rPr>
            </w:pPr>
            <w:r>
              <w:rPr>
                <w:rFonts w:hint="eastAsia" w:ascii="宋体" w:hAnsi="宋体" w:cs="宋体"/>
                <w:bCs/>
                <w:color w:val="auto"/>
              </w:rPr>
              <w:t>站房面积</w:t>
            </w:r>
          </w:p>
        </w:tc>
        <w:tc>
          <w:tcPr>
            <w:tcW w:w="586" w:type="pct"/>
            <w:gridSpan w:val="2"/>
            <w:noWrap w:val="0"/>
            <w:vAlign w:val="center"/>
          </w:tcPr>
          <w:p w14:paraId="44EC8F65">
            <w:pPr>
              <w:pStyle w:val="13"/>
              <w:widowControl w:val="0"/>
              <w:spacing w:line="360" w:lineRule="auto"/>
              <w:rPr>
                <w:rFonts w:hint="eastAsia" w:ascii="宋体" w:hAnsi="宋体" w:cs="宋体"/>
                <w:color w:val="auto"/>
              </w:rPr>
            </w:pPr>
            <w:r>
              <w:rPr>
                <w:rFonts w:hint="eastAsia" w:ascii="宋体" w:hAnsi="宋体" w:cs="宋体"/>
                <w:bCs/>
                <w:color w:val="auto"/>
                <w:lang w:val="en-US" w:eastAsia="zh-CN"/>
              </w:rPr>
              <w:t>266</w:t>
            </w:r>
            <w:r>
              <w:rPr>
                <w:rFonts w:hint="eastAsia" w:ascii="宋体" w:hAnsi="宋体" w:cs="宋体"/>
                <w:bCs/>
                <w:color w:val="auto"/>
              </w:rPr>
              <w:t>m</w:t>
            </w:r>
            <w:r>
              <w:rPr>
                <w:rFonts w:hint="eastAsia" w:ascii="宋体" w:hAnsi="宋体" w:cs="宋体"/>
                <w:bCs/>
                <w:color w:val="auto"/>
                <w:vertAlign w:val="superscript"/>
              </w:rPr>
              <w:t>2</w:t>
            </w:r>
          </w:p>
        </w:tc>
        <w:tc>
          <w:tcPr>
            <w:tcW w:w="687" w:type="pct"/>
            <w:noWrap w:val="0"/>
            <w:vAlign w:val="center"/>
          </w:tcPr>
          <w:p w14:paraId="1EBA00AC">
            <w:pPr>
              <w:pStyle w:val="13"/>
              <w:widowControl w:val="0"/>
              <w:spacing w:line="360" w:lineRule="auto"/>
              <w:rPr>
                <w:rFonts w:hint="eastAsia" w:ascii="宋体" w:hAnsi="宋体" w:cs="宋体"/>
                <w:color w:val="auto"/>
              </w:rPr>
            </w:pPr>
            <w:r>
              <w:rPr>
                <w:rFonts w:hint="eastAsia" w:ascii="宋体" w:hAnsi="宋体" w:cs="宋体"/>
                <w:color w:val="auto"/>
              </w:rPr>
              <w:t>罩棚面积</w:t>
            </w:r>
          </w:p>
        </w:tc>
        <w:tc>
          <w:tcPr>
            <w:tcW w:w="835" w:type="pct"/>
            <w:gridSpan w:val="2"/>
            <w:noWrap w:val="0"/>
            <w:vAlign w:val="center"/>
          </w:tcPr>
          <w:p w14:paraId="36B740C6">
            <w:pPr>
              <w:pStyle w:val="13"/>
              <w:widowControl w:val="0"/>
              <w:spacing w:line="360" w:lineRule="auto"/>
              <w:rPr>
                <w:rFonts w:hint="eastAsia" w:ascii="宋体" w:hAnsi="宋体" w:cs="宋体"/>
                <w:color w:val="auto"/>
              </w:rPr>
            </w:pPr>
            <w:r>
              <w:rPr>
                <w:rFonts w:hint="eastAsia" w:ascii="宋体" w:hAnsi="宋体" w:cs="宋体"/>
                <w:bCs/>
                <w:color w:val="auto"/>
                <w:lang w:val="en-US" w:eastAsia="zh-CN"/>
              </w:rPr>
              <w:t>294</w:t>
            </w:r>
            <w:r>
              <w:rPr>
                <w:rFonts w:hint="eastAsia" w:ascii="宋体" w:hAnsi="宋体" w:cs="宋体"/>
                <w:bCs/>
                <w:color w:val="auto"/>
              </w:rPr>
              <w:t>m</w:t>
            </w:r>
            <w:r>
              <w:rPr>
                <w:rFonts w:hint="eastAsia" w:ascii="宋体" w:hAnsi="宋体" w:cs="宋体"/>
                <w:bCs/>
                <w:color w:val="auto"/>
                <w:vertAlign w:val="superscript"/>
              </w:rPr>
              <w:t>2</w:t>
            </w:r>
          </w:p>
        </w:tc>
        <w:tc>
          <w:tcPr>
            <w:tcW w:w="548" w:type="pct"/>
            <w:noWrap w:val="0"/>
            <w:vAlign w:val="center"/>
          </w:tcPr>
          <w:p w14:paraId="3661FB86">
            <w:pPr>
              <w:pStyle w:val="13"/>
              <w:widowControl w:val="0"/>
              <w:spacing w:line="360" w:lineRule="auto"/>
              <w:rPr>
                <w:rFonts w:hint="eastAsia" w:ascii="宋体" w:hAnsi="宋体" w:cs="宋体"/>
                <w:color w:val="auto"/>
              </w:rPr>
            </w:pPr>
            <w:r>
              <w:rPr>
                <w:rFonts w:hint="eastAsia" w:ascii="宋体" w:hAnsi="宋体" w:cs="宋体"/>
                <w:color w:val="auto"/>
              </w:rPr>
              <w:t>罩棚高度</w:t>
            </w:r>
          </w:p>
        </w:tc>
        <w:tc>
          <w:tcPr>
            <w:tcW w:w="806" w:type="pct"/>
            <w:gridSpan w:val="2"/>
            <w:noWrap w:val="0"/>
            <w:vAlign w:val="center"/>
          </w:tcPr>
          <w:p w14:paraId="336975E9">
            <w:pPr>
              <w:pStyle w:val="13"/>
              <w:widowControl w:val="0"/>
              <w:spacing w:line="360" w:lineRule="auto"/>
              <w:rPr>
                <w:rFonts w:hint="eastAsia" w:ascii="宋体" w:hAnsi="宋体" w:cs="宋体"/>
                <w:color w:val="auto"/>
              </w:rPr>
            </w:pPr>
            <w:r>
              <w:rPr>
                <w:rFonts w:hint="eastAsia" w:ascii="宋体" w:hAnsi="宋体" w:cs="宋体"/>
                <w:color w:val="auto"/>
                <w:lang w:val="en-US" w:eastAsia="zh-CN"/>
              </w:rPr>
              <w:t>6.4</w:t>
            </w:r>
            <w:r>
              <w:rPr>
                <w:rFonts w:hint="eastAsia" w:ascii="宋体" w:hAnsi="宋体" w:cs="宋体"/>
                <w:color w:val="auto"/>
              </w:rPr>
              <w:t>m</w:t>
            </w:r>
          </w:p>
        </w:tc>
      </w:tr>
      <w:tr w14:paraId="4335AA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1EAF6009">
            <w:pPr>
              <w:pStyle w:val="13"/>
              <w:widowControl w:val="0"/>
              <w:spacing w:line="360" w:lineRule="auto"/>
              <w:rPr>
                <w:rFonts w:hint="eastAsia" w:ascii="宋体" w:hAnsi="宋体" w:cs="宋体"/>
                <w:bCs/>
                <w:color w:val="auto"/>
              </w:rPr>
            </w:pPr>
            <w:r>
              <w:rPr>
                <w:rFonts w:hint="eastAsia" w:ascii="宋体" w:hAnsi="宋体" w:cs="宋体"/>
                <w:bCs/>
                <w:color w:val="auto"/>
              </w:rPr>
              <w:t>储存设施</w:t>
            </w:r>
          </w:p>
        </w:tc>
        <w:tc>
          <w:tcPr>
            <w:tcW w:w="768" w:type="pct"/>
            <w:noWrap w:val="0"/>
            <w:vAlign w:val="center"/>
          </w:tcPr>
          <w:p w14:paraId="60E2C831">
            <w:pPr>
              <w:pStyle w:val="13"/>
              <w:widowControl w:val="0"/>
              <w:spacing w:line="360" w:lineRule="auto"/>
              <w:rPr>
                <w:rFonts w:hint="eastAsia" w:ascii="宋体" w:hAnsi="宋体" w:cs="宋体"/>
                <w:bCs/>
                <w:color w:val="auto"/>
              </w:rPr>
            </w:pPr>
            <w:r>
              <w:rPr>
                <w:rFonts w:hint="eastAsia" w:ascii="宋体" w:hAnsi="宋体" w:cs="宋体"/>
                <w:bCs/>
                <w:color w:val="auto"/>
              </w:rPr>
              <w:t>汽油</w:t>
            </w:r>
          </w:p>
        </w:tc>
        <w:tc>
          <w:tcPr>
            <w:tcW w:w="2108" w:type="pct"/>
            <w:gridSpan w:val="5"/>
            <w:noWrap w:val="0"/>
            <w:vAlign w:val="center"/>
          </w:tcPr>
          <w:p w14:paraId="6BEE699E">
            <w:pPr>
              <w:pStyle w:val="13"/>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个汽油罐，每罐容积为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20</w:t>
            </w:r>
            <w:r>
              <w:rPr>
                <w:rFonts w:hint="eastAsia" w:ascii="宋体" w:hAnsi="宋体" w:cs="宋体"/>
                <w:bCs/>
                <w:color w:val="auto"/>
              </w:rPr>
              <w:t>m³</w:t>
            </w:r>
            <w:r>
              <w:rPr>
                <w:rFonts w:hint="eastAsia" w:ascii="宋体" w:hAnsi="宋体" w:cs="宋体"/>
                <w:bCs/>
                <w:color w:val="auto"/>
                <w:u w:val="none" w:color="auto"/>
                <w:lang w:val="en-US" w:eastAsia="zh-CN"/>
              </w:rPr>
              <w:t>和</w:t>
            </w:r>
            <w:r>
              <w:rPr>
                <w:rFonts w:hint="eastAsia" w:ascii="宋体" w:hAnsi="宋体" w:cs="宋体"/>
                <w:bCs/>
                <w:color w:val="auto"/>
                <w:u w:val="single" w:color="auto"/>
                <w:lang w:val="en-US" w:eastAsia="zh-CN"/>
              </w:rPr>
              <w:t>25</w:t>
            </w:r>
            <w:r>
              <w:rPr>
                <w:rFonts w:hint="eastAsia" w:ascii="宋体" w:hAnsi="宋体" w:cs="宋体"/>
                <w:bCs/>
                <w:color w:val="auto"/>
                <w:u w:val="single" w:color="auto"/>
              </w:rPr>
              <w:t xml:space="preserve"> </w:t>
            </w:r>
            <w:r>
              <w:rPr>
                <w:rFonts w:hint="eastAsia" w:ascii="宋体" w:hAnsi="宋体" w:cs="宋体"/>
                <w:bCs/>
                <w:color w:val="auto"/>
              </w:rPr>
              <w:t>m³</w:t>
            </w:r>
          </w:p>
        </w:tc>
        <w:tc>
          <w:tcPr>
            <w:tcW w:w="1355" w:type="pct"/>
            <w:gridSpan w:val="3"/>
            <w:vMerge w:val="restart"/>
            <w:noWrap w:val="0"/>
            <w:vAlign w:val="center"/>
          </w:tcPr>
          <w:p w14:paraId="3B963ED8">
            <w:pPr>
              <w:pStyle w:val="13"/>
              <w:widowControl w:val="0"/>
              <w:snapToGrid w:val="0"/>
              <w:spacing w:line="240" w:lineRule="auto"/>
              <w:rPr>
                <w:rStyle w:val="7"/>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19BFFDCA">
            <w:pPr>
              <w:pStyle w:val="13"/>
              <w:widowControl w:val="0"/>
              <w:snapToGrid w:val="0"/>
              <w:spacing w:line="240" w:lineRule="auto"/>
              <w:rPr>
                <w:rFonts w:ascii="宋体" w:hAnsi="宋体" w:cs="宋体"/>
                <w:color w:val="auto"/>
              </w:rPr>
            </w:pPr>
            <w:r>
              <w:rPr>
                <w:rFonts w:hint="eastAsia" w:ascii="宋体" w:hAnsi="宋体" w:cs="宋体"/>
                <w:color w:val="auto"/>
              </w:rPr>
              <w:t>储存能力：</w:t>
            </w:r>
            <w:r>
              <w:rPr>
                <w:rFonts w:hint="eastAsia" w:ascii="宋体" w:hAnsi="宋体" w:cs="宋体"/>
                <w:color w:val="auto"/>
                <w:lang w:val="en-US" w:eastAsia="zh-CN"/>
              </w:rPr>
              <w:t>125</w:t>
            </w:r>
            <w:r>
              <w:rPr>
                <w:rFonts w:hint="eastAsia" w:ascii="宋体" w:hAnsi="宋体" w:cs="宋体"/>
                <w:bCs/>
                <w:color w:val="auto"/>
              </w:rPr>
              <w:t>m</w:t>
            </w:r>
            <w:r>
              <w:rPr>
                <w:rFonts w:hint="eastAsia" w:ascii="宋体" w:hAnsi="宋体" w:cs="宋体"/>
                <w:color w:val="auto"/>
                <w:vertAlign w:val="superscript"/>
              </w:rPr>
              <w:t>3</w:t>
            </w:r>
          </w:p>
        </w:tc>
      </w:tr>
      <w:tr w14:paraId="05DE05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682455DA">
            <w:pPr>
              <w:pStyle w:val="13"/>
              <w:widowControl w:val="0"/>
              <w:spacing w:line="360" w:lineRule="auto"/>
              <w:rPr>
                <w:rFonts w:hint="eastAsia" w:ascii="宋体" w:hAnsi="宋体" w:cs="宋体"/>
                <w:bCs/>
                <w:color w:val="auto"/>
              </w:rPr>
            </w:pPr>
          </w:p>
        </w:tc>
        <w:tc>
          <w:tcPr>
            <w:tcW w:w="768" w:type="pct"/>
            <w:noWrap w:val="0"/>
            <w:vAlign w:val="center"/>
          </w:tcPr>
          <w:p w14:paraId="103C5AFE">
            <w:pPr>
              <w:pStyle w:val="13"/>
              <w:widowControl w:val="0"/>
              <w:spacing w:line="360" w:lineRule="auto"/>
              <w:rPr>
                <w:rFonts w:hint="eastAsia" w:ascii="宋体" w:hAnsi="宋体" w:cs="宋体"/>
                <w:bCs/>
                <w:color w:val="auto"/>
              </w:rPr>
            </w:pPr>
            <w:r>
              <w:rPr>
                <w:rFonts w:hint="eastAsia" w:ascii="宋体" w:hAnsi="宋体" w:cs="宋体"/>
                <w:bCs/>
                <w:color w:val="auto"/>
              </w:rPr>
              <w:t>柴油</w:t>
            </w:r>
          </w:p>
        </w:tc>
        <w:tc>
          <w:tcPr>
            <w:tcW w:w="2108" w:type="pct"/>
            <w:gridSpan w:val="5"/>
            <w:noWrap w:val="0"/>
            <w:vAlign w:val="center"/>
          </w:tcPr>
          <w:p w14:paraId="725712DB">
            <w:pPr>
              <w:pStyle w:val="13"/>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个柴油罐，每罐容积为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4</w:t>
            </w:r>
            <w:r>
              <w:rPr>
                <w:rFonts w:hint="eastAsia" w:ascii="宋体" w:hAnsi="宋体" w:cs="宋体"/>
                <w:bCs/>
                <w:color w:val="auto"/>
                <w:u w:val="single" w:color="auto"/>
              </w:rPr>
              <w:t xml:space="preserve">0 </w:t>
            </w:r>
            <w:r>
              <w:rPr>
                <w:rFonts w:hint="eastAsia" w:ascii="宋体" w:hAnsi="宋体" w:cs="宋体"/>
                <w:bCs/>
                <w:color w:val="auto"/>
              </w:rPr>
              <w:t>m³</w:t>
            </w:r>
          </w:p>
        </w:tc>
        <w:tc>
          <w:tcPr>
            <w:tcW w:w="1355" w:type="pct"/>
            <w:gridSpan w:val="3"/>
            <w:vMerge w:val="continue"/>
            <w:noWrap w:val="0"/>
            <w:vAlign w:val="center"/>
          </w:tcPr>
          <w:p w14:paraId="3FE4E41C">
            <w:pPr>
              <w:pStyle w:val="13"/>
              <w:widowControl w:val="0"/>
              <w:spacing w:line="360" w:lineRule="auto"/>
              <w:rPr>
                <w:rFonts w:hint="eastAsia" w:ascii="宋体" w:hAnsi="宋体" w:cs="宋体"/>
                <w:bCs/>
                <w:color w:val="auto"/>
              </w:rPr>
            </w:pPr>
          </w:p>
        </w:tc>
      </w:tr>
      <w:tr w14:paraId="2CA312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3C2707F9">
            <w:pPr>
              <w:pStyle w:val="13"/>
              <w:widowControl w:val="0"/>
              <w:spacing w:line="360" w:lineRule="auto"/>
              <w:rPr>
                <w:rFonts w:hint="eastAsia" w:ascii="宋体" w:hAnsi="宋体" w:cs="宋体"/>
                <w:bCs/>
                <w:color w:val="auto"/>
              </w:rPr>
            </w:pPr>
            <w:r>
              <w:rPr>
                <w:rFonts w:hint="eastAsia" w:ascii="宋体" w:hAnsi="宋体" w:cs="宋体"/>
                <w:bCs/>
                <w:color w:val="auto"/>
              </w:rPr>
              <w:t>加油设施</w:t>
            </w:r>
          </w:p>
        </w:tc>
        <w:tc>
          <w:tcPr>
            <w:tcW w:w="768" w:type="pct"/>
            <w:noWrap w:val="0"/>
            <w:vAlign w:val="center"/>
          </w:tcPr>
          <w:p w14:paraId="7107752B">
            <w:pPr>
              <w:pStyle w:val="13"/>
              <w:widowControl w:val="0"/>
              <w:spacing w:line="360" w:lineRule="auto"/>
              <w:rPr>
                <w:rFonts w:hint="eastAsia" w:ascii="宋体" w:hAnsi="宋体" w:cs="宋体"/>
                <w:bCs/>
                <w:color w:val="auto"/>
              </w:rPr>
            </w:pPr>
            <w:r>
              <w:rPr>
                <w:rFonts w:hint="eastAsia" w:ascii="宋体" w:hAnsi="宋体" w:cs="宋体"/>
                <w:bCs/>
                <w:color w:val="auto"/>
              </w:rPr>
              <w:t>加油机</w:t>
            </w:r>
          </w:p>
        </w:tc>
        <w:tc>
          <w:tcPr>
            <w:tcW w:w="3463" w:type="pct"/>
            <w:gridSpan w:val="8"/>
            <w:noWrap w:val="0"/>
            <w:vAlign w:val="center"/>
          </w:tcPr>
          <w:p w14:paraId="497336C6">
            <w:pPr>
              <w:pStyle w:val="13"/>
              <w:widowControl w:val="0"/>
              <w:spacing w:line="360" w:lineRule="auto"/>
              <w:rPr>
                <w:rFonts w:hint="default" w:ascii="宋体" w:hAnsi="宋体" w:eastAsia="宋体" w:cs="宋体"/>
                <w:bCs/>
                <w:color w:val="auto"/>
                <w:lang w:val="en-US" w:eastAsia="zh-CN"/>
              </w:rPr>
            </w:pPr>
            <w:r>
              <w:rPr>
                <w:rFonts w:hint="eastAsia" w:ascii="宋体" w:hAnsi="宋体" w:cs="宋体"/>
                <w:bCs/>
                <w:color w:val="auto"/>
                <w:lang w:val="en-US" w:eastAsia="zh-CN"/>
              </w:rPr>
              <w:t>4台双枪（均为非自助）</w:t>
            </w:r>
          </w:p>
        </w:tc>
      </w:tr>
      <w:tr w14:paraId="218F91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079F46C9">
            <w:pPr>
              <w:pStyle w:val="13"/>
              <w:widowControl w:val="0"/>
              <w:spacing w:line="360" w:lineRule="auto"/>
              <w:rPr>
                <w:rFonts w:hint="eastAsia" w:ascii="宋体" w:hAnsi="宋体" w:cs="宋体"/>
                <w:bCs/>
                <w:color w:val="auto"/>
              </w:rPr>
            </w:pPr>
          </w:p>
        </w:tc>
        <w:tc>
          <w:tcPr>
            <w:tcW w:w="768" w:type="pct"/>
            <w:noWrap w:val="0"/>
            <w:vAlign w:val="center"/>
          </w:tcPr>
          <w:p w14:paraId="68E0608C">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3" w:type="pct"/>
            <w:gridSpan w:val="8"/>
            <w:noWrap w:val="0"/>
            <w:vAlign w:val="center"/>
          </w:tcPr>
          <w:p w14:paraId="0DF69F5F">
            <w:pPr>
              <w:pStyle w:val="13"/>
              <w:widowControl w:val="0"/>
              <w:spacing w:line="360" w:lineRule="auto"/>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59B8D7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2BEF90DA">
            <w:pPr>
              <w:pStyle w:val="13"/>
              <w:widowControl w:val="0"/>
              <w:spacing w:line="360" w:lineRule="auto"/>
              <w:rPr>
                <w:rFonts w:hint="eastAsia" w:ascii="宋体" w:hAnsi="宋体" w:cs="宋体"/>
                <w:bCs/>
                <w:color w:val="auto"/>
              </w:rPr>
            </w:pPr>
            <w:r>
              <w:rPr>
                <w:rFonts w:hint="eastAsia" w:ascii="宋体" w:hAnsi="宋体" w:cs="宋体"/>
                <w:bCs/>
                <w:color w:val="auto"/>
              </w:rPr>
              <w:t>消防设施</w:t>
            </w:r>
          </w:p>
        </w:tc>
        <w:tc>
          <w:tcPr>
            <w:tcW w:w="768" w:type="pct"/>
            <w:noWrap w:val="0"/>
            <w:vAlign w:val="center"/>
          </w:tcPr>
          <w:p w14:paraId="3C81C262">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noWrap w:val="0"/>
            <w:vAlign w:val="center"/>
          </w:tcPr>
          <w:p w14:paraId="25A9F3FB">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具</w:t>
            </w:r>
          </w:p>
        </w:tc>
        <w:tc>
          <w:tcPr>
            <w:tcW w:w="687" w:type="pct"/>
            <w:noWrap w:val="0"/>
            <w:vAlign w:val="center"/>
          </w:tcPr>
          <w:p w14:paraId="51236C53">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8</w:t>
            </w:r>
            <w:r>
              <w:rPr>
                <w:rFonts w:hint="eastAsia" w:ascii="宋体" w:hAnsi="宋体" w:cs="宋体"/>
                <w:bCs/>
                <w:color w:val="000000" w:themeColor="text1"/>
                <w14:textFill>
                  <w14:solidFill>
                    <w14:schemeClr w14:val="tx1"/>
                  </w14:solidFill>
                </w14:textFill>
              </w:rPr>
              <w:t>kg手提式干粉灭火器</w:t>
            </w:r>
          </w:p>
        </w:tc>
        <w:tc>
          <w:tcPr>
            <w:tcW w:w="835" w:type="pct"/>
            <w:gridSpan w:val="2"/>
            <w:noWrap w:val="0"/>
            <w:vAlign w:val="center"/>
          </w:tcPr>
          <w:p w14:paraId="00EE912A">
            <w:pPr>
              <w:pStyle w:val="13"/>
              <w:widowControl w:val="0"/>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具</w:t>
            </w:r>
          </w:p>
        </w:tc>
        <w:tc>
          <w:tcPr>
            <w:tcW w:w="635" w:type="pct"/>
            <w:gridSpan w:val="2"/>
            <w:noWrap w:val="0"/>
            <w:vAlign w:val="center"/>
          </w:tcPr>
          <w:p w14:paraId="3119B647">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9" w:type="pct"/>
            <w:noWrap w:val="0"/>
            <w:vAlign w:val="center"/>
          </w:tcPr>
          <w:p w14:paraId="6EE1C3B3">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r>
              <w:rPr>
                <w:rFonts w:hint="eastAsia" w:ascii="宋体" w:hAnsi="宋体" w:cs="宋体"/>
                <w:bCs/>
                <w:color w:val="000000" w:themeColor="text1"/>
                <w14:textFill>
                  <w14:solidFill>
                    <w14:schemeClr w14:val="tx1"/>
                  </w14:solidFill>
                </w14:textFill>
              </w:rPr>
              <w:t>具</w:t>
            </w:r>
          </w:p>
        </w:tc>
      </w:tr>
      <w:tr w14:paraId="728A41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0876DDAB">
            <w:pPr>
              <w:pStyle w:val="13"/>
              <w:widowControl w:val="0"/>
              <w:spacing w:line="360" w:lineRule="auto"/>
              <w:rPr>
                <w:rFonts w:hint="eastAsia" w:ascii="宋体" w:hAnsi="宋体" w:cs="宋体"/>
                <w:bCs/>
                <w:color w:val="auto"/>
              </w:rPr>
            </w:pPr>
          </w:p>
        </w:tc>
        <w:tc>
          <w:tcPr>
            <w:tcW w:w="768" w:type="pct"/>
            <w:noWrap w:val="0"/>
            <w:vAlign w:val="center"/>
          </w:tcPr>
          <w:p w14:paraId="7310B714">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noWrap w:val="0"/>
            <w:vAlign w:val="center"/>
          </w:tcPr>
          <w:p w14:paraId="5DE6CB2B">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w:t>
            </w:r>
            <w:r>
              <w:rPr>
                <w:rFonts w:hint="eastAsia" w:ascii="宋体" w:hAnsi="宋体" w:cs="宋体"/>
                <w:bCs/>
                <w:color w:val="000000" w:themeColor="text1"/>
                <w14:textFill>
                  <w14:solidFill>
                    <w14:schemeClr w14:val="tx1"/>
                  </w14:solidFill>
                </w14:textFill>
              </w:rPr>
              <w:t>块</w:t>
            </w:r>
          </w:p>
        </w:tc>
        <w:tc>
          <w:tcPr>
            <w:tcW w:w="687" w:type="pct"/>
            <w:noWrap w:val="0"/>
            <w:vAlign w:val="center"/>
          </w:tcPr>
          <w:p w14:paraId="536CD4E7">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835" w:type="pct"/>
            <w:gridSpan w:val="2"/>
            <w:noWrap w:val="0"/>
            <w:vAlign w:val="center"/>
          </w:tcPr>
          <w:p w14:paraId="71E79D0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把</w:t>
            </w:r>
          </w:p>
        </w:tc>
        <w:tc>
          <w:tcPr>
            <w:tcW w:w="635" w:type="pct"/>
            <w:gridSpan w:val="2"/>
            <w:noWrap w:val="0"/>
            <w:vAlign w:val="center"/>
          </w:tcPr>
          <w:p w14:paraId="04461670">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消防桶</w:t>
            </w:r>
          </w:p>
        </w:tc>
        <w:tc>
          <w:tcPr>
            <w:tcW w:w="719" w:type="pct"/>
            <w:noWrap w:val="0"/>
            <w:vAlign w:val="center"/>
          </w:tcPr>
          <w:p w14:paraId="265F0AD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4个</w:t>
            </w:r>
          </w:p>
        </w:tc>
      </w:tr>
      <w:tr w14:paraId="491744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3BCD853C">
            <w:pPr>
              <w:pStyle w:val="13"/>
              <w:widowControl w:val="0"/>
              <w:spacing w:line="360" w:lineRule="auto"/>
              <w:rPr>
                <w:rFonts w:hint="eastAsia" w:ascii="宋体" w:hAnsi="宋体" w:cs="宋体"/>
                <w:bCs/>
                <w:color w:val="auto"/>
              </w:rPr>
            </w:pPr>
          </w:p>
        </w:tc>
        <w:tc>
          <w:tcPr>
            <w:tcW w:w="768" w:type="pct"/>
            <w:noWrap w:val="0"/>
            <w:vAlign w:val="center"/>
          </w:tcPr>
          <w:p w14:paraId="221B7D84">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noWrap w:val="0"/>
            <w:vAlign w:val="center"/>
          </w:tcPr>
          <w:p w14:paraId="34A4E32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7" w:type="pct"/>
            <w:noWrap w:val="0"/>
            <w:vAlign w:val="center"/>
          </w:tcPr>
          <w:p w14:paraId="012F3229">
            <w:pPr>
              <w:pStyle w:val="13"/>
              <w:widowControl w:val="0"/>
              <w:spacing w:line="360" w:lineRule="auto"/>
              <w:rPr>
                <w:rFonts w:hint="eastAsia" w:ascii="宋体" w:hAnsi="宋体" w:cs="宋体"/>
                <w:bCs/>
                <w:color w:val="000000" w:themeColor="text1"/>
                <w14:textFill>
                  <w14:solidFill>
                    <w14:schemeClr w14:val="tx1"/>
                  </w14:solidFill>
                </w14:textFill>
              </w:rPr>
            </w:pPr>
          </w:p>
        </w:tc>
        <w:tc>
          <w:tcPr>
            <w:tcW w:w="835" w:type="pct"/>
            <w:gridSpan w:val="2"/>
            <w:noWrap w:val="0"/>
            <w:vAlign w:val="center"/>
          </w:tcPr>
          <w:p w14:paraId="18F87AC1">
            <w:pPr>
              <w:pStyle w:val="13"/>
              <w:widowControl w:val="0"/>
              <w:spacing w:line="360" w:lineRule="auto"/>
              <w:rPr>
                <w:rFonts w:hint="eastAsia" w:ascii="宋体" w:hAnsi="宋体" w:cs="宋体"/>
                <w:bCs/>
                <w:color w:val="000000" w:themeColor="text1"/>
                <w:lang w:val="en-US" w:eastAsia="zh-CN"/>
                <w14:textFill>
                  <w14:solidFill>
                    <w14:schemeClr w14:val="tx1"/>
                  </w14:solidFill>
                </w14:textFill>
              </w:rPr>
            </w:pPr>
          </w:p>
        </w:tc>
        <w:tc>
          <w:tcPr>
            <w:tcW w:w="635" w:type="pct"/>
            <w:gridSpan w:val="2"/>
            <w:noWrap w:val="0"/>
            <w:vAlign w:val="center"/>
          </w:tcPr>
          <w:p w14:paraId="308E9C95">
            <w:pPr>
              <w:pStyle w:val="13"/>
              <w:widowControl w:val="0"/>
              <w:spacing w:line="360" w:lineRule="auto"/>
              <w:rPr>
                <w:rFonts w:hint="eastAsia" w:ascii="宋体" w:hAnsi="宋体" w:cs="宋体"/>
                <w:bCs/>
                <w:color w:val="000000" w:themeColor="text1"/>
                <w14:textFill>
                  <w14:solidFill>
                    <w14:schemeClr w14:val="tx1"/>
                  </w14:solidFill>
                </w14:textFill>
              </w:rPr>
            </w:pPr>
          </w:p>
        </w:tc>
        <w:tc>
          <w:tcPr>
            <w:tcW w:w="719" w:type="pct"/>
            <w:noWrap w:val="0"/>
            <w:vAlign w:val="center"/>
          </w:tcPr>
          <w:p w14:paraId="753B0851">
            <w:pPr>
              <w:pStyle w:val="13"/>
              <w:widowControl w:val="0"/>
              <w:spacing w:line="360" w:lineRule="auto"/>
              <w:rPr>
                <w:rFonts w:hint="eastAsia" w:ascii="宋体" w:hAnsi="宋体" w:cs="宋体"/>
                <w:bCs/>
                <w:color w:val="000000" w:themeColor="text1"/>
                <w:lang w:val="en-US" w:eastAsia="zh-CN"/>
                <w14:textFill>
                  <w14:solidFill>
                    <w14:schemeClr w14:val="tx1"/>
                  </w14:solidFill>
                </w14:textFill>
              </w:rPr>
            </w:pPr>
          </w:p>
        </w:tc>
      </w:tr>
    </w:tbl>
    <w:p w14:paraId="2D534B63">
      <w:pPr>
        <w:pStyle w:val="11"/>
        <w:widowControl w:val="0"/>
        <w:adjustRightInd w:val="0"/>
        <w:snapToGrid w:val="0"/>
        <w:spacing w:before="0" w:beforeLines="0" w:after="0" w:afterLines="0" w:line="360" w:lineRule="auto"/>
        <w:rPr>
          <w:color w:val="auto"/>
        </w:rPr>
      </w:pPr>
      <w:r>
        <w:rPr>
          <w:color w:val="auto"/>
        </w:rPr>
        <w:t>第四章 评价单元划分与评价方法选择</w:t>
      </w:r>
      <w:bookmarkEnd w:id="0"/>
      <w:bookmarkEnd w:id="1"/>
      <w:bookmarkEnd w:id="2"/>
      <w:bookmarkEnd w:id="3"/>
    </w:p>
    <w:p w14:paraId="0CFA60DF">
      <w:pPr>
        <w:snapToGrid w:val="0"/>
        <w:spacing w:line="360" w:lineRule="auto"/>
        <w:jc w:val="center"/>
        <w:outlineLvl w:val="1"/>
        <w:rPr>
          <w:rFonts w:ascii="Calibri" w:hAnsi="Calibri" w:eastAsia="楷体_GB2312"/>
          <w:b/>
          <w:color w:val="auto"/>
          <w:kern w:val="0"/>
          <w:sz w:val="32"/>
          <w:szCs w:val="20"/>
        </w:rPr>
      </w:pPr>
      <w:bookmarkStart w:id="14" w:name="_Toc238007574"/>
      <w:bookmarkStart w:id="15" w:name="_Toc23543"/>
      <w:bookmarkStart w:id="16" w:name="_Toc102634256"/>
      <w:bookmarkStart w:id="17" w:name="_Toc7829"/>
      <w:bookmarkStart w:id="18" w:name="_Toc102634407"/>
      <w:bookmarkStart w:id="19" w:name="_Toc272364536"/>
      <w:bookmarkStart w:id="20" w:name="_Toc192907201"/>
      <w:bookmarkStart w:id="21" w:name="_Toc198026273"/>
      <w:bookmarkStart w:id="22" w:name="_Toc15033754"/>
      <w:bookmarkStart w:id="23" w:name="_Toc102633907"/>
      <w:bookmarkStart w:id="24" w:name="_Toc102633981"/>
      <w:r>
        <w:rPr>
          <w:rFonts w:ascii="Calibri" w:hAnsi="Calibri" w:eastAsia="楷体_GB2312"/>
          <w:b/>
          <w:color w:val="auto"/>
          <w:kern w:val="0"/>
          <w:sz w:val="32"/>
          <w:szCs w:val="20"/>
        </w:rPr>
        <w:t>第一节 评价单元的划分</w:t>
      </w:r>
      <w:bookmarkEnd w:id="14"/>
      <w:bookmarkEnd w:id="15"/>
      <w:bookmarkEnd w:id="16"/>
      <w:bookmarkEnd w:id="17"/>
      <w:bookmarkEnd w:id="18"/>
      <w:bookmarkEnd w:id="19"/>
      <w:bookmarkEnd w:id="20"/>
      <w:bookmarkEnd w:id="21"/>
      <w:bookmarkEnd w:id="22"/>
      <w:bookmarkEnd w:id="23"/>
      <w:bookmarkEnd w:id="24"/>
    </w:p>
    <w:p w14:paraId="5239CF88">
      <w:pPr>
        <w:pStyle w:val="10"/>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5"/>
        <w:widowControl w:val="0"/>
        <w:spacing w:line="360" w:lineRule="auto"/>
        <w:ind w:firstLine="560"/>
        <w:jc w:val="both"/>
        <w:rPr>
          <w:color w:val="auto"/>
        </w:rPr>
      </w:pPr>
      <w:bookmarkStart w:id="25" w:name="_Toc102634257"/>
      <w:r>
        <w:rPr>
          <w:rFonts w:hint="eastAsia"/>
          <w:color w:val="auto"/>
        </w:rPr>
        <w:t>一</w:t>
      </w:r>
      <w:r>
        <w:rPr>
          <w:color w:val="auto"/>
        </w:rPr>
        <w:t>、以危险有害因素的类别为主划分评价单元</w:t>
      </w:r>
      <w:bookmarkEnd w:id="25"/>
    </w:p>
    <w:p w14:paraId="6C0E37D2">
      <w:pPr>
        <w:pStyle w:val="10"/>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10"/>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5"/>
        <w:widowControl w:val="0"/>
        <w:spacing w:line="360" w:lineRule="auto"/>
        <w:ind w:firstLine="560"/>
        <w:jc w:val="both"/>
        <w:rPr>
          <w:color w:val="auto"/>
        </w:rPr>
      </w:pPr>
      <w:bookmarkStart w:id="26" w:name="_Toc102634258"/>
      <w:r>
        <w:rPr>
          <w:rFonts w:hint="eastAsia"/>
          <w:color w:val="auto"/>
        </w:rPr>
        <w:t>二</w:t>
      </w:r>
      <w:r>
        <w:rPr>
          <w:color w:val="auto"/>
        </w:rPr>
        <w:t>、以物质特征划分评价单元</w:t>
      </w:r>
      <w:bookmarkEnd w:id="26"/>
    </w:p>
    <w:p w14:paraId="7543DE90">
      <w:pPr>
        <w:pStyle w:val="10"/>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10"/>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10"/>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10"/>
        <w:widowControl w:val="0"/>
        <w:spacing w:line="360" w:lineRule="auto"/>
        <w:ind w:firstLine="560"/>
        <w:rPr>
          <w:rFonts w:ascii="宋体"/>
          <w:color w:val="auto"/>
        </w:rPr>
      </w:pPr>
      <w:r>
        <w:rPr>
          <w:rFonts w:ascii="宋体"/>
          <w:color w:val="auto"/>
        </w:rPr>
        <w:t>1、安全管理；</w:t>
      </w:r>
    </w:p>
    <w:p w14:paraId="0E35C396">
      <w:pPr>
        <w:pStyle w:val="10"/>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10"/>
        <w:widowControl w:val="0"/>
        <w:spacing w:line="360" w:lineRule="auto"/>
        <w:ind w:firstLine="560"/>
        <w:rPr>
          <w:rFonts w:ascii="宋体"/>
          <w:color w:val="auto"/>
        </w:rPr>
      </w:pPr>
      <w:r>
        <w:rPr>
          <w:rFonts w:ascii="宋体"/>
          <w:color w:val="auto"/>
        </w:rPr>
        <w:t>3、加油工艺及设施；</w:t>
      </w:r>
    </w:p>
    <w:p w14:paraId="4C2E9B16">
      <w:pPr>
        <w:pStyle w:val="10"/>
        <w:widowControl w:val="0"/>
        <w:spacing w:line="360" w:lineRule="auto"/>
        <w:ind w:firstLine="560"/>
        <w:rPr>
          <w:rFonts w:hint="eastAsia" w:ascii="宋体"/>
          <w:color w:val="auto"/>
        </w:rPr>
      </w:pPr>
      <w:r>
        <w:rPr>
          <w:rFonts w:ascii="宋体"/>
          <w:color w:val="auto"/>
        </w:rPr>
        <w:t>4、其它安全设施等。</w:t>
      </w:r>
      <w:bookmarkStart w:id="27" w:name="_Toc188080068"/>
      <w:bookmarkStart w:id="28" w:name="_Toc24232"/>
      <w:bookmarkStart w:id="29" w:name="_Toc192907202"/>
      <w:bookmarkStart w:id="30" w:name="_Toc15033755"/>
      <w:bookmarkStart w:id="31" w:name="_Toc188079886"/>
      <w:bookmarkStart w:id="32" w:name="_Toc272364537"/>
      <w:bookmarkStart w:id="33" w:name="_Toc19785"/>
      <w:bookmarkStart w:id="34" w:name="_Toc238007575"/>
      <w:bookmarkStart w:id="35" w:name="_Toc198026274"/>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36" w:name="_Toc102634259"/>
      <w:bookmarkStart w:id="37" w:name="_Toc102633982"/>
      <w:bookmarkStart w:id="38" w:name="_Toc102634408"/>
      <w:bookmarkStart w:id="39" w:name="_Toc102633908"/>
      <w:r>
        <w:rPr>
          <w:rFonts w:ascii="Calibri" w:hAnsi="Calibri" w:eastAsia="楷体_GB2312"/>
          <w:b/>
          <w:color w:val="auto"/>
          <w:kern w:val="0"/>
          <w:sz w:val="32"/>
          <w:szCs w:val="20"/>
        </w:rPr>
        <w:t>第二节 评价方法的选择</w:t>
      </w:r>
      <w:bookmarkEnd w:id="27"/>
      <w:bookmarkEnd w:id="28"/>
      <w:bookmarkEnd w:id="29"/>
      <w:bookmarkEnd w:id="30"/>
      <w:bookmarkEnd w:id="31"/>
      <w:bookmarkEnd w:id="32"/>
      <w:bookmarkEnd w:id="33"/>
      <w:bookmarkEnd w:id="34"/>
      <w:bookmarkEnd w:id="35"/>
      <w:bookmarkEnd w:id="36"/>
      <w:bookmarkEnd w:id="37"/>
      <w:bookmarkEnd w:id="38"/>
      <w:bookmarkEnd w:id="39"/>
    </w:p>
    <w:p w14:paraId="57D82CF9">
      <w:pPr>
        <w:pStyle w:val="10"/>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10"/>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10"/>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2"/>
        <w:widowControl w:val="0"/>
        <w:outlineLvl w:val="9"/>
        <w:rPr>
          <w:rFonts w:ascii="黑体" w:hAnsi="黑体"/>
          <w:color w:val="auto"/>
        </w:rPr>
      </w:pPr>
      <w:r>
        <w:rPr>
          <w:rFonts w:ascii="黑体" w:hAnsi="黑体"/>
          <w:color w:val="auto"/>
        </w:rPr>
        <w:t>表4.2-1 评价方法选择一览表</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2460"/>
        <w:gridCol w:w="2291"/>
        <w:gridCol w:w="2240"/>
        <w:gridCol w:w="186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3"/>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3"/>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3"/>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3"/>
              <w:widowControl w:val="0"/>
              <w:spacing w:line="360" w:lineRule="auto"/>
              <w:rPr>
                <w:rFonts w:ascii="宋体"/>
                <w:b/>
                <w:color w:val="auto"/>
                <w:lang w:val="en-GB"/>
              </w:rPr>
            </w:pPr>
          </w:p>
        </w:tc>
        <w:tc>
          <w:tcPr>
            <w:tcW w:w="1285" w:type="pct"/>
            <w:vMerge w:val="continue"/>
            <w:noWrap w:val="0"/>
            <w:vAlign w:val="center"/>
          </w:tcPr>
          <w:p w14:paraId="31F118FF">
            <w:pPr>
              <w:pStyle w:val="13"/>
              <w:widowControl w:val="0"/>
              <w:spacing w:line="360" w:lineRule="auto"/>
              <w:rPr>
                <w:rFonts w:ascii="宋体"/>
                <w:b/>
                <w:color w:val="auto"/>
              </w:rPr>
            </w:pPr>
          </w:p>
        </w:tc>
        <w:tc>
          <w:tcPr>
            <w:tcW w:w="1197" w:type="pct"/>
            <w:noWrap w:val="0"/>
            <w:vAlign w:val="center"/>
          </w:tcPr>
          <w:p w14:paraId="69BBFF9A">
            <w:pPr>
              <w:pStyle w:val="13"/>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3"/>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3"/>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3"/>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3"/>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3"/>
              <w:widowControl w:val="0"/>
              <w:spacing w:line="360" w:lineRule="auto"/>
              <w:rPr>
                <w:rFonts w:ascii="宋体"/>
                <w:color w:val="auto"/>
              </w:rPr>
            </w:pPr>
          </w:p>
        </w:tc>
        <w:tc>
          <w:tcPr>
            <w:tcW w:w="972" w:type="pct"/>
            <w:noWrap w:val="0"/>
            <w:vAlign w:val="center"/>
          </w:tcPr>
          <w:p w14:paraId="7B0BC0CD">
            <w:pPr>
              <w:pStyle w:val="13"/>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3"/>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3"/>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3"/>
              <w:widowControl w:val="0"/>
              <w:spacing w:line="360" w:lineRule="auto"/>
              <w:rPr>
                <w:rFonts w:ascii="宋体"/>
                <w:color w:val="auto"/>
              </w:rPr>
            </w:pPr>
          </w:p>
        </w:tc>
        <w:tc>
          <w:tcPr>
            <w:tcW w:w="972" w:type="pct"/>
            <w:noWrap w:val="0"/>
            <w:vAlign w:val="center"/>
          </w:tcPr>
          <w:p w14:paraId="11FCBE08">
            <w:pPr>
              <w:pStyle w:val="13"/>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3"/>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3"/>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3"/>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3"/>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3"/>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3"/>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3"/>
              <w:widowControl w:val="0"/>
              <w:spacing w:line="360" w:lineRule="auto"/>
              <w:rPr>
                <w:rFonts w:ascii="宋体"/>
                <w:color w:val="auto"/>
              </w:rPr>
            </w:pPr>
          </w:p>
        </w:tc>
        <w:tc>
          <w:tcPr>
            <w:tcW w:w="972" w:type="pct"/>
            <w:noWrap w:val="0"/>
            <w:vAlign w:val="center"/>
          </w:tcPr>
          <w:p w14:paraId="03608C82">
            <w:pPr>
              <w:pStyle w:val="13"/>
              <w:widowControl w:val="0"/>
              <w:spacing w:line="360" w:lineRule="auto"/>
              <w:rPr>
                <w:rFonts w:ascii="宋体"/>
                <w:color w:val="auto"/>
              </w:rPr>
            </w:pPr>
          </w:p>
        </w:tc>
      </w:tr>
    </w:tbl>
    <w:p w14:paraId="10147963">
      <w:pPr>
        <w:pStyle w:val="10"/>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4"/>
        <w:rPr>
          <w:rFonts w:hint="eastAsia"/>
          <w:lang w:val="en-US" w:eastAsia="zh-CN"/>
        </w:rPr>
      </w:pPr>
    </w:p>
    <w:p w14:paraId="60D5F574">
      <w:pPr>
        <w:pStyle w:val="4"/>
        <w:rPr>
          <w:rFonts w:hint="eastAsia"/>
          <w:lang w:val="en-US" w:eastAsia="zh-CN"/>
        </w:rPr>
      </w:pPr>
    </w:p>
    <w:p w14:paraId="5FDB11C5">
      <w:pPr>
        <w:pStyle w:val="4"/>
        <w:rPr>
          <w:rFonts w:hint="eastAsia"/>
          <w:lang w:val="en-US" w:eastAsia="zh-CN"/>
        </w:rPr>
      </w:pPr>
    </w:p>
    <w:p w14:paraId="54D2C95D">
      <w:pPr>
        <w:pStyle w:val="4"/>
        <w:rPr>
          <w:rFonts w:hint="eastAsia"/>
          <w:lang w:val="en-US" w:eastAsia="zh-CN"/>
        </w:rPr>
      </w:pPr>
    </w:p>
    <w:p w14:paraId="74F4A6B6">
      <w:pPr>
        <w:pStyle w:val="4"/>
        <w:rPr>
          <w:rFonts w:hint="eastAsia"/>
          <w:lang w:val="en-US" w:eastAsia="zh-CN"/>
        </w:rPr>
      </w:pPr>
    </w:p>
    <w:p w14:paraId="71CFC805">
      <w:pPr>
        <w:pStyle w:val="4"/>
        <w:rPr>
          <w:rFonts w:hint="eastAsia"/>
          <w:lang w:val="en-US" w:eastAsia="zh-CN"/>
        </w:rPr>
      </w:pPr>
    </w:p>
    <w:p w14:paraId="05A78FC0">
      <w:pPr>
        <w:pStyle w:val="4"/>
        <w:rPr>
          <w:rFonts w:hint="eastAsia"/>
          <w:lang w:val="en-US" w:eastAsia="zh-CN"/>
        </w:rPr>
      </w:pPr>
    </w:p>
    <w:p w14:paraId="6B600D32">
      <w:pPr>
        <w:pStyle w:val="4"/>
        <w:rPr>
          <w:rFonts w:hint="eastAsia"/>
          <w:lang w:val="en-US" w:eastAsia="zh-CN"/>
        </w:rPr>
      </w:pPr>
    </w:p>
    <w:p w14:paraId="30DF714D">
      <w:pPr>
        <w:pStyle w:val="4"/>
        <w:rPr>
          <w:rFonts w:hint="eastAsia"/>
          <w:lang w:val="en-US" w:eastAsia="zh-CN"/>
        </w:rPr>
      </w:pPr>
    </w:p>
    <w:p w14:paraId="591A17EF">
      <w:pPr>
        <w:pStyle w:val="4"/>
        <w:rPr>
          <w:rFonts w:hint="eastAsia"/>
          <w:lang w:val="en-US" w:eastAsia="zh-CN"/>
        </w:rPr>
      </w:pPr>
    </w:p>
    <w:p w14:paraId="33FE60AF">
      <w:pPr>
        <w:pStyle w:val="11"/>
        <w:widowControl w:val="0"/>
        <w:adjustRightInd w:val="0"/>
        <w:snapToGrid w:val="0"/>
        <w:spacing w:before="468" w:beforeLines="150" w:after="156" w:afterLines="50" w:line="360" w:lineRule="auto"/>
        <w:rPr>
          <w:color w:val="auto"/>
        </w:rPr>
      </w:pPr>
      <w:bookmarkStart w:id="40" w:name="_Toc9894"/>
      <w:bookmarkStart w:id="41" w:name="_Toc102634414"/>
      <w:bookmarkStart w:id="42" w:name="_Toc102634276"/>
      <w:bookmarkStart w:id="43" w:name="_Toc102633988"/>
      <w:bookmarkStart w:id="44" w:name="_Toc15033761"/>
      <w:bookmarkStart w:id="45" w:name="_Toc102633914"/>
      <w:r>
        <w:rPr>
          <w:color w:val="auto"/>
        </w:rPr>
        <w:t>第六章  安全对策措施及建议</w:t>
      </w:r>
      <w:bookmarkEnd w:id="40"/>
      <w:bookmarkEnd w:id="41"/>
      <w:bookmarkEnd w:id="42"/>
      <w:bookmarkEnd w:id="43"/>
      <w:bookmarkEnd w:id="44"/>
      <w:bookmarkEnd w:id="45"/>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46" w:name="_Toc225046264"/>
      <w:bookmarkStart w:id="47" w:name="_Toc339456079"/>
      <w:bookmarkStart w:id="48" w:name="_Toc348877039"/>
      <w:bookmarkStart w:id="49" w:name="_Toc15033762"/>
      <w:bookmarkStart w:id="50" w:name="_Toc102633989"/>
      <w:bookmarkStart w:id="51" w:name="_Toc102633915"/>
      <w:bookmarkStart w:id="52" w:name="_Toc4961"/>
      <w:bookmarkStart w:id="53" w:name="_Toc242065302"/>
      <w:bookmarkStart w:id="54" w:name="_Toc102634277"/>
      <w:bookmarkStart w:id="55" w:name="_Toc102634415"/>
      <w:r>
        <w:rPr>
          <w:rFonts w:ascii="Calibri" w:hAnsi="Calibri" w:eastAsia="楷体_GB2312"/>
          <w:b/>
          <w:color w:val="auto"/>
          <w:kern w:val="0"/>
          <w:sz w:val="32"/>
          <w:szCs w:val="20"/>
        </w:rPr>
        <w:t xml:space="preserve">第一节 </w:t>
      </w:r>
      <w:bookmarkEnd w:id="46"/>
      <w:bookmarkEnd w:id="47"/>
      <w:r>
        <w:rPr>
          <w:rFonts w:ascii="Calibri" w:hAnsi="Calibri" w:eastAsia="楷体_GB2312"/>
          <w:b/>
          <w:color w:val="auto"/>
          <w:kern w:val="0"/>
          <w:sz w:val="32"/>
          <w:szCs w:val="20"/>
        </w:rPr>
        <w:t>存在的问题及整改建议</w:t>
      </w:r>
      <w:bookmarkEnd w:id="48"/>
      <w:bookmarkEnd w:id="49"/>
      <w:bookmarkEnd w:id="50"/>
      <w:bookmarkEnd w:id="51"/>
      <w:bookmarkEnd w:id="52"/>
      <w:bookmarkEnd w:id="53"/>
      <w:bookmarkEnd w:id="54"/>
      <w:bookmarkEnd w:id="55"/>
    </w:p>
    <w:p w14:paraId="6ED67031">
      <w:pPr>
        <w:adjustRightInd w:val="0"/>
        <w:snapToGrid w:val="0"/>
        <w:spacing w:line="360" w:lineRule="auto"/>
        <w:ind w:firstLine="560" w:firstLineChars="200"/>
        <w:rPr>
          <w:rFonts w:ascii="宋体"/>
          <w:color w:val="auto"/>
          <w:kern w:val="0"/>
          <w:sz w:val="28"/>
          <w:szCs w:val="20"/>
        </w:rPr>
      </w:pPr>
      <w:bookmarkStart w:id="56" w:name="_Toc49590281"/>
      <w:bookmarkStart w:id="57"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56"/>
    <w:bookmarkEnd w:id="57"/>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5"/>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洗车机处无安全警示标识；</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洗车机处应设置安全警示标识。</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4"/>
        <w:rPr>
          <w:rFonts w:hint="eastAsia" w:ascii="宋体" w:eastAsia="宋体"/>
          <w:kern w:val="0"/>
          <w:sz w:val="28"/>
          <w:szCs w:val="20"/>
          <w:lang w:eastAsia="zh-CN"/>
        </w:rPr>
      </w:pPr>
    </w:p>
    <w:p w14:paraId="7196FAF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4"/>
        <w:ind w:left="0" w:leftChars="0" w:firstLine="0" w:firstLineChars="0"/>
        <w:rPr>
          <w:rFonts w:hint="eastAsia" w:ascii="宋体" w:eastAsia="宋体"/>
          <w:kern w:val="0"/>
          <w:sz w:val="28"/>
          <w:szCs w:val="20"/>
          <w:lang w:val="en-US" w:eastAsia="zh-CN"/>
        </w:rPr>
      </w:pPr>
    </w:p>
    <w:p w14:paraId="754E295C">
      <w:pPr>
        <w:pStyle w:val="4"/>
        <w:ind w:left="0" w:leftChars="0" w:firstLine="0" w:firstLineChars="0"/>
        <w:rPr>
          <w:rFonts w:hint="eastAsia" w:ascii="宋体" w:eastAsia="宋体"/>
          <w:kern w:val="0"/>
          <w:sz w:val="28"/>
          <w:szCs w:val="20"/>
          <w:lang w:val="en-US" w:eastAsia="zh-CN"/>
        </w:rPr>
      </w:pPr>
    </w:p>
    <w:p w14:paraId="33ECCD2C">
      <w:pPr>
        <w:pStyle w:val="4"/>
        <w:ind w:left="0" w:leftChars="0" w:firstLine="0" w:firstLineChars="0"/>
        <w:rPr>
          <w:rFonts w:hint="eastAsia" w:ascii="宋体" w:eastAsia="宋体"/>
          <w:kern w:val="0"/>
          <w:sz w:val="28"/>
          <w:szCs w:val="20"/>
          <w:lang w:val="en-US" w:eastAsia="zh-CN"/>
        </w:rPr>
      </w:pPr>
    </w:p>
    <w:p w14:paraId="6B68A546">
      <w:pPr>
        <w:pStyle w:val="4"/>
        <w:ind w:left="0" w:leftChars="0" w:firstLine="0" w:firstLineChars="0"/>
        <w:rPr>
          <w:rFonts w:hint="eastAsia" w:ascii="宋体" w:eastAsia="宋体"/>
          <w:kern w:val="0"/>
          <w:sz w:val="28"/>
          <w:szCs w:val="20"/>
          <w:lang w:val="en-US" w:eastAsia="zh-CN"/>
        </w:rPr>
      </w:pPr>
    </w:p>
    <w:p w14:paraId="4A09A148">
      <w:pPr>
        <w:pStyle w:val="4"/>
        <w:ind w:left="0" w:leftChars="0" w:firstLine="0" w:firstLineChars="0"/>
        <w:rPr>
          <w:rFonts w:hint="eastAsia" w:ascii="宋体" w:eastAsia="宋体"/>
          <w:kern w:val="0"/>
          <w:sz w:val="28"/>
          <w:szCs w:val="20"/>
          <w:lang w:val="en-US" w:eastAsia="zh-CN"/>
        </w:rPr>
      </w:pPr>
    </w:p>
    <w:p w14:paraId="7287E591">
      <w:pPr>
        <w:pStyle w:val="4"/>
        <w:ind w:left="0" w:leftChars="0" w:firstLine="0" w:firstLineChars="0"/>
        <w:rPr>
          <w:rFonts w:hint="eastAsia" w:ascii="宋体" w:eastAsia="宋体"/>
          <w:kern w:val="0"/>
          <w:sz w:val="28"/>
          <w:szCs w:val="20"/>
          <w:lang w:val="en-US" w:eastAsia="zh-CN"/>
        </w:rPr>
      </w:pPr>
    </w:p>
    <w:p w14:paraId="234AE995">
      <w:pPr>
        <w:pStyle w:val="4"/>
        <w:ind w:left="0" w:leftChars="0" w:firstLine="0" w:firstLineChars="0"/>
        <w:rPr>
          <w:rFonts w:hint="eastAsia" w:ascii="宋体" w:eastAsia="宋体"/>
          <w:kern w:val="0"/>
          <w:sz w:val="28"/>
          <w:szCs w:val="20"/>
          <w:lang w:val="en-US" w:eastAsia="zh-CN"/>
        </w:rPr>
      </w:pPr>
    </w:p>
    <w:p w14:paraId="1D2BC367">
      <w:pPr>
        <w:pStyle w:val="4"/>
        <w:ind w:left="0" w:leftChars="0" w:firstLine="0" w:firstLineChars="0"/>
        <w:rPr>
          <w:rFonts w:hint="eastAsia" w:ascii="宋体" w:eastAsia="宋体"/>
          <w:kern w:val="0"/>
          <w:sz w:val="28"/>
          <w:szCs w:val="20"/>
          <w:lang w:val="en-US" w:eastAsia="zh-CN"/>
        </w:rPr>
      </w:pPr>
    </w:p>
    <w:p w14:paraId="7FDE32C3">
      <w:pPr>
        <w:pStyle w:val="4"/>
        <w:ind w:left="0" w:leftChars="0" w:firstLine="0" w:firstLineChars="0"/>
        <w:rPr>
          <w:rFonts w:hint="eastAsia" w:ascii="宋体" w:eastAsia="宋体"/>
          <w:kern w:val="0"/>
          <w:sz w:val="28"/>
          <w:szCs w:val="20"/>
          <w:lang w:val="en-US" w:eastAsia="zh-CN"/>
        </w:rPr>
      </w:pPr>
    </w:p>
    <w:p w14:paraId="67D86ACD">
      <w:pPr>
        <w:pStyle w:val="4"/>
        <w:ind w:left="0" w:leftChars="0" w:firstLine="0" w:firstLineChars="0"/>
        <w:rPr>
          <w:rFonts w:hint="eastAsia" w:ascii="宋体" w:eastAsia="宋体"/>
          <w:kern w:val="0"/>
          <w:sz w:val="28"/>
          <w:szCs w:val="20"/>
          <w:lang w:val="en-US" w:eastAsia="zh-CN"/>
        </w:rPr>
      </w:pPr>
    </w:p>
    <w:p w14:paraId="627DF3ED">
      <w:pPr>
        <w:pStyle w:val="4"/>
        <w:ind w:left="0" w:leftChars="0" w:firstLine="0" w:firstLineChars="0"/>
        <w:rPr>
          <w:rFonts w:hint="eastAsia" w:ascii="宋体" w:eastAsia="宋体"/>
          <w:kern w:val="0"/>
          <w:sz w:val="28"/>
          <w:szCs w:val="20"/>
          <w:lang w:val="en-US" w:eastAsia="zh-CN"/>
        </w:rPr>
      </w:pPr>
    </w:p>
    <w:p w14:paraId="5163FA0C">
      <w:pPr>
        <w:pStyle w:val="4"/>
        <w:ind w:left="0" w:leftChars="0" w:firstLine="0" w:firstLineChars="0"/>
        <w:rPr>
          <w:rFonts w:hint="eastAsia" w:ascii="宋体" w:eastAsia="宋体"/>
          <w:kern w:val="0"/>
          <w:sz w:val="28"/>
          <w:szCs w:val="20"/>
          <w:lang w:val="en-US" w:eastAsia="zh-CN"/>
        </w:rPr>
      </w:pPr>
    </w:p>
    <w:p w14:paraId="4C4F6297">
      <w:pPr>
        <w:pStyle w:val="4"/>
        <w:ind w:left="0" w:leftChars="0" w:firstLine="0" w:firstLineChars="0"/>
        <w:rPr>
          <w:rFonts w:hint="eastAsia" w:ascii="宋体" w:eastAsia="宋体"/>
          <w:kern w:val="0"/>
          <w:sz w:val="28"/>
          <w:szCs w:val="20"/>
          <w:lang w:val="en-US" w:eastAsia="zh-CN"/>
        </w:rPr>
      </w:pPr>
    </w:p>
    <w:p w14:paraId="3AEB5644">
      <w:pPr>
        <w:pStyle w:val="4"/>
        <w:ind w:left="0" w:leftChars="0" w:firstLine="0" w:firstLineChars="0"/>
        <w:rPr>
          <w:rFonts w:hint="eastAsia" w:ascii="宋体" w:eastAsia="宋体"/>
          <w:kern w:val="0"/>
          <w:sz w:val="28"/>
          <w:szCs w:val="20"/>
          <w:lang w:val="en-US" w:eastAsia="zh-CN"/>
        </w:rPr>
      </w:pPr>
    </w:p>
    <w:p w14:paraId="4A651ABE">
      <w:pPr>
        <w:pStyle w:val="4"/>
        <w:ind w:left="0" w:leftChars="0" w:firstLine="0" w:firstLineChars="0"/>
        <w:rPr>
          <w:rFonts w:hint="eastAsia" w:ascii="宋体" w:eastAsia="宋体"/>
          <w:kern w:val="0"/>
          <w:sz w:val="28"/>
          <w:szCs w:val="20"/>
          <w:lang w:val="en-US" w:eastAsia="zh-CN"/>
        </w:rPr>
      </w:pPr>
    </w:p>
    <w:p w14:paraId="07141D98">
      <w:pPr>
        <w:pStyle w:val="4"/>
        <w:ind w:left="0" w:leftChars="0" w:firstLine="0" w:firstLineChars="0"/>
        <w:rPr>
          <w:rFonts w:hint="eastAsia" w:ascii="宋体" w:eastAsia="宋体"/>
          <w:kern w:val="0"/>
          <w:sz w:val="28"/>
          <w:szCs w:val="20"/>
          <w:lang w:val="en-US" w:eastAsia="zh-CN"/>
        </w:rPr>
      </w:pPr>
    </w:p>
    <w:p w14:paraId="5BB886FE">
      <w:pPr>
        <w:pStyle w:val="4"/>
        <w:ind w:left="0" w:leftChars="0" w:firstLine="0" w:firstLineChars="0"/>
        <w:rPr>
          <w:rFonts w:hint="eastAsia" w:ascii="宋体" w:eastAsia="宋体"/>
          <w:kern w:val="0"/>
          <w:sz w:val="28"/>
          <w:szCs w:val="20"/>
          <w:lang w:val="en-US" w:eastAsia="zh-CN"/>
        </w:rPr>
      </w:pPr>
    </w:p>
    <w:p w14:paraId="0047A009">
      <w:pPr>
        <w:pStyle w:val="4"/>
        <w:ind w:left="0" w:leftChars="0" w:firstLine="0" w:firstLineChars="0"/>
        <w:rPr>
          <w:rFonts w:hint="eastAsia" w:ascii="宋体" w:eastAsia="宋体"/>
          <w:kern w:val="0"/>
          <w:sz w:val="28"/>
          <w:szCs w:val="20"/>
          <w:lang w:val="en-US" w:eastAsia="zh-CN"/>
        </w:rPr>
      </w:pPr>
    </w:p>
    <w:p w14:paraId="65E2BC00">
      <w:pPr>
        <w:pStyle w:val="4"/>
        <w:ind w:left="0" w:leftChars="0" w:firstLine="0" w:firstLineChars="0"/>
        <w:rPr>
          <w:rFonts w:hint="eastAsia" w:ascii="宋体" w:eastAsia="宋体"/>
          <w:kern w:val="0"/>
          <w:sz w:val="28"/>
          <w:szCs w:val="20"/>
          <w:lang w:val="en-US" w:eastAsia="zh-CN"/>
        </w:rPr>
      </w:pPr>
    </w:p>
    <w:p w14:paraId="6558F50A">
      <w:pPr>
        <w:pStyle w:val="4"/>
        <w:ind w:left="0" w:leftChars="0" w:firstLine="0" w:firstLineChars="0"/>
        <w:rPr>
          <w:rFonts w:hint="eastAsia" w:ascii="宋体" w:eastAsia="宋体"/>
          <w:kern w:val="0"/>
          <w:sz w:val="28"/>
          <w:szCs w:val="20"/>
          <w:lang w:val="en-US" w:eastAsia="zh-CN"/>
        </w:rPr>
      </w:pPr>
    </w:p>
    <w:p w14:paraId="14359921">
      <w:pPr>
        <w:pStyle w:val="4"/>
        <w:ind w:left="0" w:leftChars="0" w:firstLine="0" w:firstLineChars="0"/>
        <w:rPr>
          <w:rFonts w:hint="eastAsia" w:ascii="宋体" w:eastAsia="宋体"/>
          <w:kern w:val="0"/>
          <w:sz w:val="28"/>
          <w:szCs w:val="20"/>
          <w:lang w:val="en-US" w:eastAsia="zh-CN"/>
        </w:rPr>
      </w:pPr>
    </w:p>
    <w:p w14:paraId="3AF08DFF">
      <w:pPr>
        <w:pStyle w:val="4"/>
        <w:ind w:left="0" w:leftChars="0" w:firstLine="0" w:firstLineChars="0"/>
        <w:rPr>
          <w:rFonts w:hint="eastAsia" w:ascii="宋体" w:eastAsia="宋体"/>
          <w:kern w:val="0"/>
          <w:sz w:val="28"/>
          <w:szCs w:val="20"/>
          <w:lang w:val="en-US" w:eastAsia="zh-CN"/>
        </w:rPr>
      </w:pPr>
    </w:p>
    <w:p w14:paraId="1F9E243F">
      <w:pPr>
        <w:pStyle w:val="4"/>
        <w:ind w:left="0" w:leftChars="0" w:firstLine="0" w:firstLineChars="0"/>
        <w:rPr>
          <w:rFonts w:hint="eastAsia" w:ascii="宋体" w:eastAsia="宋体"/>
          <w:kern w:val="0"/>
          <w:sz w:val="28"/>
          <w:szCs w:val="20"/>
          <w:lang w:val="en-US" w:eastAsia="zh-CN"/>
        </w:rPr>
      </w:pPr>
    </w:p>
    <w:p w14:paraId="0AAB0CE1">
      <w:pPr>
        <w:pStyle w:val="4"/>
        <w:ind w:left="0" w:leftChars="0" w:firstLine="0" w:firstLineChars="0"/>
        <w:rPr>
          <w:rFonts w:hint="eastAsia" w:ascii="宋体" w:eastAsia="宋体"/>
          <w:kern w:val="0"/>
          <w:sz w:val="28"/>
          <w:szCs w:val="20"/>
          <w:lang w:val="en-US" w:eastAsia="zh-CN"/>
        </w:rPr>
      </w:pPr>
    </w:p>
    <w:p w14:paraId="46F2D9D5">
      <w:pPr>
        <w:pStyle w:val="4"/>
        <w:ind w:left="0" w:leftChars="0" w:firstLine="0" w:firstLineChars="0"/>
        <w:rPr>
          <w:rFonts w:hint="eastAsia" w:ascii="宋体" w:eastAsia="宋体"/>
          <w:kern w:val="0"/>
          <w:sz w:val="28"/>
          <w:szCs w:val="20"/>
          <w:lang w:val="en-US" w:eastAsia="zh-CN"/>
        </w:rPr>
      </w:pPr>
    </w:p>
    <w:p w14:paraId="06E842D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7635240" cy="5724525"/>
            <wp:effectExtent l="0" t="0" r="9525" b="3810"/>
            <wp:docPr id="13" name="图片 13" descr="8a1382050254c53f0555867d106a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a1382050254c53f0555867d106a6ec"/>
                    <pic:cNvPicPr>
                      <a:picLocks noChangeAspect="1"/>
                    </pic:cNvPicPr>
                  </pic:nvPicPr>
                  <pic:blipFill>
                    <a:blip r:embed="rId11"/>
                    <a:stretch>
                      <a:fillRect/>
                    </a:stretch>
                  </pic:blipFill>
                  <pic:spPr>
                    <a:xfrm rot="5400000">
                      <a:off x="0" y="0"/>
                      <a:ext cx="7635240" cy="5724525"/>
                    </a:xfrm>
                    <a:prstGeom prst="rect">
                      <a:avLst/>
                    </a:prstGeom>
                  </pic:spPr>
                </pic:pic>
              </a:graphicData>
            </a:graphic>
          </wp:inline>
        </w:drawing>
      </w:r>
    </w:p>
    <w:p w14:paraId="279DDBB4">
      <w:pPr>
        <w:pStyle w:val="4"/>
        <w:ind w:left="0" w:leftChars="0" w:firstLine="0" w:firstLineChars="0"/>
        <w:rPr>
          <w:rFonts w:hint="eastAsia" w:ascii="宋体" w:eastAsia="宋体"/>
          <w:kern w:val="0"/>
          <w:sz w:val="28"/>
          <w:szCs w:val="20"/>
          <w:lang w:val="en-US" w:eastAsia="zh-CN"/>
        </w:rPr>
      </w:pPr>
    </w:p>
    <w:p w14:paraId="355B5ECE">
      <w:pPr>
        <w:pStyle w:val="4"/>
        <w:ind w:left="0" w:leftChars="0" w:firstLine="0" w:firstLineChars="0"/>
        <w:rPr>
          <w:rFonts w:hint="eastAsia" w:ascii="宋体" w:eastAsia="宋体"/>
          <w:kern w:val="0"/>
          <w:sz w:val="28"/>
          <w:szCs w:val="20"/>
          <w:lang w:val="en-US" w:eastAsia="zh-CN"/>
        </w:rPr>
      </w:pPr>
    </w:p>
    <w:p w14:paraId="2B09B818">
      <w:pPr>
        <w:pStyle w:val="4"/>
        <w:ind w:left="0" w:leftChars="0" w:firstLine="0" w:firstLineChars="0"/>
        <w:rPr>
          <w:rFonts w:hint="eastAsia" w:ascii="宋体" w:eastAsia="宋体"/>
          <w:kern w:val="0"/>
          <w:sz w:val="28"/>
          <w:szCs w:val="20"/>
          <w:lang w:val="en-US" w:eastAsia="zh-CN"/>
        </w:rPr>
      </w:pPr>
    </w:p>
    <w:p w14:paraId="003E63FF">
      <w:pPr>
        <w:pStyle w:val="4"/>
        <w:ind w:left="0" w:leftChars="0" w:firstLine="0" w:firstLineChars="0"/>
        <w:rPr>
          <w:rFonts w:hint="eastAsia" w:ascii="宋体" w:eastAsia="宋体"/>
          <w:kern w:val="0"/>
          <w:sz w:val="28"/>
          <w:szCs w:val="20"/>
          <w:lang w:val="en-US" w:eastAsia="zh-CN"/>
        </w:rPr>
      </w:pPr>
    </w:p>
    <w:p w14:paraId="280C964D">
      <w:pPr>
        <w:pStyle w:val="4"/>
        <w:ind w:left="0" w:leftChars="0" w:firstLine="0" w:firstLineChars="0"/>
        <w:rPr>
          <w:rFonts w:hint="eastAsia" w:ascii="宋体" w:eastAsia="宋体"/>
          <w:kern w:val="0"/>
          <w:sz w:val="28"/>
          <w:szCs w:val="20"/>
          <w:lang w:val="en-US" w:eastAsia="zh-CN"/>
        </w:rPr>
      </w:pPr>
    </w:p>
    <w:p w14:paraId="76D929E1">
      <w:pPr>
        <w:pStyle w:val="4"/>
        <w:ind w:left="0" w:leftChars="0" w:firstLine="0" w:firstLineChars="0"/>
        <w:rPr>
          <w:rFonts w:hint="eastAsia" w:ascii="宋体" w:eastAsia="宋体"/>
          <w:kern w:val="0"/>
          <w:sz w:val="28"/>
          <w:szCs w:val="20"/>
          <w:lang w:val="en-US" w:eastAsia="zh-CN"/>
        </w:rPr>
      </w:pPr>
      <w:bookmarkStart w:id="58" w:name="_GoBack"/>
      <w:bookmarkEnd w:id="58"/>
      <w:r>
        <w:rPr>
          <w:rFonts w:hint="eastAsia" w:ascii="宋体" w:eastAsia="宋体"/>
          <w:kern w:val="0"/>
          <w:sz w:val="28"/>
          <w:szCs w:val="20"/>
          <w:lang w:val="en-US" w:eastAsia="zh-CN"/>
        </w:rPr>
        <w:drawing>
          <wp:inline distT="0" distB="0" distL="114300" distR="114300">
            <wp:extent cx="8044180" cy="5903595"/>
            <wp:effectExtent l="0" t="0" r="1905" b="13970"/>
            <wp:docPr id="15" name="图片 15" descr="a68b9410317b01be400d2cf7c3b3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68b9410317b01be400d2cf7c3b31d6"/>
                    <pic:cNvPicPr>
                      <a:picLocks noChangeAspect="1"/>
                    </pic:cNvPicPr>
                  </pic:nvPicPr>
                  <pic:blipFill>
                    <a:blip r:embed="rId12"/>
                    <a:srcRect t="2113"/>
                    <a:stretch>
                      <a:fillRect/>
                    </a:stretch>
                  </pic:blipFill>
                  <pic:spPr>
                    <a:xfrm rot="5400000">
                      <a:off x="0" y="0"/>
                      <a:ext cx="8044180" cy="5903595"/>
                    </a:xfrm>
                    <a:prstGeom prst="rect">
                      <a:avLst/>
                    </a:prstGeom>
                  </pic:spPr>
                </pic:pic>
              </a:graphicData>
            </a:graphic>
          </wp:inline>
        </w:drawing>
      </w:r>
    </w:p>
    <w:p w14:paraId="3A1B326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8432800" cy="5742940"/>
            <wp:effectExtent l="0" t="0" r="10160" b="6350"/>
            <wp:docPr id="14" name="图片 14" descr="d3794bdfbdc9fc14a5c885065d5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794bdfbdc9fc14a5c885065d550d1"/>
                    <pic:cNvPicPr>
                      <a:picLocks noChangeAspect="1"/>
                    </pic:cNvPicPr>
                  </pic:nvPicPr>
                  <pic:blipFill>
                    <a:blip r:embed="rId13"/>
                    <a:srcRect t="9182"/>
                    <a:stretch>
                      <a:fillRect/>
                    </a:stretch>
                  </pic:blipFill>
                  <pic:spPr>
                    <a:xfrm rot="5400000">
                      <a:off x="0" y="0"/>
                      <a:ext cx="8432800" cy="5742940"/>
                    </a:xfrm>
                    <a:prstGeom prst="rect">
                      <a:avLst/>
                    </a:prstGeom>
                  </pic:spPr>
                </pic:pic>
              </a:graphicData>
            </a:graphic>
          </wp:inline>
        </w:drawing>
      </w:r>
    </w:p>
    <w:sectPr>
      <w:pgSz w:w="11906" w:h="16838"/>
      <w:pgMar w:top="1417" w:right="1134"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1C08409E"/>
    <w:rsid w:val="2B511820"/>
    <w:rsid w:val="2CF8435A"/>
    <w:rsid w:val="36920A93"/>
    <w:rsid w:val="439D7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val="none" w:color="000000"/>
    </w:rPr>
  </w:style>
  <w:style w:type="paragraph" w:styleId="4">
    <w:name w:val="Normal Indent"/>
    <w:basedOn w:val="1"/>
    <w:qFormat/>
    <w:uiPriority w:val="0"/>
    <w:pPr>
      <w:ind w:firstLine="420" w:firstLineChars="200"/>
    </w:pPr>
    <w:rPr>
      <w:sz w:val="28"/>
      <w:szCs w:val="20"/>
      <w:u w:color="000000"/>
    </w:rPr>
  </w:style>
  <w:style w:type="character" w:styleId="7">
    <w:name w:val="annotation reference"/>
    <w:qFormat/>
    <w:uiPriority w:val="99"/>
    <w:rPr>
      <w:sz w:val="21"/>
      <w:szCs w:val="21"/>
    </w:rPr>
  </w:style>
  <w:style w:type="paragraph" w:customStyle="1" w:styleId="8">
    <w:name w:val="Table Text"/>
    <w:basedOn w:val="1"/>
    <w:semiHidden/>
    <w:qFormat/>
    <w:uiPriority w:val="0"/>
    <w:rPr>
      <w:rFonts w:ascii="宋体" w:hAnsi="宋体" w:eastAsia="宋体" w:cs="宋体"/>
      <w:sz w:val="20"/>
      <w:szCs w:val="20"/>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1">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2">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3">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4">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5">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3144</Words>
  <Characters>3493</Characters>
  <Lines>0</Lines>
  <Paragraphs>0</Paragraphs>
  <TotalTime>2</TotalTime>
  <ScaleCrop>false</ScaleCrop>
  <LinksUpToDate>false</LinksUpToDate>
  <CharactersWithSpaces>6771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2024-11-27T02:47:31Z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68E79501D11842178A9097CCE2A3EF02_11</vt:lpwstr>
  </property>
</Properties>
</file>