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6116">
      <w:pPr>
        <w:spacing w:before="156" w:line="317" w:lineRule="auto"/>
        <w:ind w:left="3628" w:leftChars="-155" w:hanging="3953" w:hangingChars="1422"/>
        <w:jc w:val="center"/>
        <w:outlineLvl w:val="0"/>
        <w:rPr>
          <w:rFonts w:hint="eastAsia" w:ascii="黑体" w:hAnsi="黑体" w:eastAsia="黑体" w:cs="黑体"/>
          <w:spacing w:val="-1"/>
          <w:sz w:val="28"/>
          <w:szCs w:val="28"/>
          <w:lang w:eastAsia="zh-CN"/>
        </w:rPr>
      </w:pP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lang w:eastAsia="zh-CN"/>
        </w:rPr>
        <w:t>中国石化山东泰山石油股份有限公司</w:t>
      </w:r>
      <w:r>
        <w:rPr>
          <w:rFonts w:hint="eastAsia" w:ascii="黑体" w:hAnsi="黑体" w:eastAsia="黑体" w:cs="黑体"/>
          <w:spacing w:val="-1"/>
          <w:sz w:val="28"/>
          <w:szCs w:val="28"/>
          <w:lang w:val="en-US" w:eastAsia="zh-CN"/>
        </w:rPr>
        <w:t>宁阳</w:t>
      </w:r>
      <w:r>
        <w:rPr>
          <w:rFonts w:hint="eastAsia" w:ascii="黑体" w:hAnsi="黑体" w:eastAsia="黑体" w:cs="黑体"/>
          <w:spacing w:val="-1"/>
          <w:sz w:val="28"/>
          <w:szCs w:val="28"/>
          <w:lang w:eastAsia="zh-CN"/>
        </w:rPr>
        <w:t>第</w:t>
      </w:r>
      <w:r>
        <w:rPr>
          <w:rFonts w:hint="eastAsia" w:ascii="黑体" w:hAnsi="黑体" w:eastAsia="黑体" w:cs="黑体"/>
          <w:spacing w:val="-1"/>
          <w:sz w:val="28"/>
          <w:szCs w:val="28"/>
          <w:lang w:val="en-US" w:eastAsia="zh-CN"/>
        </w:rPr>
        <w:t>一</w:t>
      </w:r>
      <w:r>
        <w:rPr>
          <w:rFonts w:hint="eastAsia" w:ascii="黑体" w:hAnsi="黑体" w:eastAsia="黑体" w:cs="黑体"/>
          <w:spacing w:val="-1"/>
          <w:sz w:val="28"/>
          <w:szCs w:val="28"/>
          <w:lang w:eastAsia="zh-CN"/>
        </w:rPr>
        <w:t>加油站</w:t>
      </w:r>
    </w:p>
    <w:p w14:paraId="1D502629">
      <w:pPr>
        <w:spacing w:before="156" w:line="317" w:lineRule="auto"/>
        <w:ind w:left="3628" w:leftChars="-155" w:hanging="3953" w:hangingChars="1422"/>
        <w:jc w:val="center"/>
        <w:outlineLvl w:val="0"/>
        <w:rPr>
          <w:rFonts w:ascii="黑体" w:hAnsi="黑体" w:eastAsia="黑体" w:cs="黑体"/>
          <w:sz w:val="28"/>
          <w:szCs w:val="28"/>
        </w:rPr>
      </w:pPr>
      <w:r>
        <w:rPr>
          <w:rFonts w:hint="eastAsia" w:ascii="黑体" w:hAnsi="黑体" w:eastAsia="黑体" w:cs="黑体"/>
          <w:spacing w:val="-1"/>
          <w:sz w:val="28"/>
          <w:szCs w:val="28"/>
          <w:lang w:val="en-US" w:eastAsia="zh-CN"/>
        </w:rPr>
        <w:t xml:space="preserve">   </w:t>
      </w:r>
      <w:r>
        <w:rPr>
          <w:rFonts w:ascii="黑体" w:hAnsi="黑体" w:eastAsia="黑体" w:cs="黑体"/>
          <w:spacing w:val="-1"/>
          <w:sz w:val="28"/>
          <w:szCs w:val="28"/>
        </w:rPr>
        <w:t>经营危险化学品</w:t>
      </w:r>
      <w:r>
        <w:rPr>
          <w:rFonts w:ascii="黑体" w:hAnsi="黑体" w:eastAsia="黑体" w:cs="黑体"/>
          <w:spacing w:val="-2"/>
          <w:sz w:val="28"/>
          <w:szCs w:val="28"/>
        </w:rPr>
        <w:t>现状评价项目信息表</w:t>
      </w:r>
    </w:p>
    <w:p w14:paraId="05ED1C52">
      <w:pPr>
        <w:spacing w:before="168" w:line="228" w:lineRule="auto"/>
        <w:ind w:left="125"/>
        <w:rPr>
          <w:rFonts w:ascii="宋体" w:hAnsi="宋体" w:eastAsia="宋体" w:cs="宋体"/>
          <w:sz w:val="20"/>
          <w:szCs w:val="20"/>
        </w:rPr>
      </w:pPr>
      <w:r>
        <w:rPr>
          <w:rFonts w:ascii="宋体" w:hAnsi="宋体" w:eastAsia="宋体" w:cs="宋体"/>
          <w:spacing w:val="5"/>
          <w:sz w:val="20"/>
          <w:szCs w:val="20"/>
        </w:rPr>
        <w:t>项目编号：</w:t>
      </w:r>
    </w:p>
    <w:p w14:paraId="1CB0161A">
      <w:pPr>
        <w:spacing w:line="136" w:lineRule="auto"/>
        <w:rPr>
          <w:rFonts w:ascii="Arial"/>
          <w:sz w:val="2"/>
        </w:rPr>
      </w:pPr>
    </w:p>
    <w:tbl>
      <w:tblPr>
        <w:tblStyle w:val="7"/>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683"/>
        <w:gridCol w:w="1662"/>
        <w:gridCol w:w="3501"/>
        <w:gridCol w:w="1928"/>
      </w:tblGrid>
      <w:tr w14:paraId="2762D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80" w:type="dxa"/>
            <w:vAlign w:val="top"/>
          </w:tcPr>
          <w:p w14:paraId="56342654">
            <w:pPr>
              <w:pStyle w:val="6"/>
              <w:spacing w:before="213" w:line="228" w:lineRule="auto"/>
              <w:ind w:left="120"/>
            </w:pPr>
            <w:r>
              <w:rPr>
                <w:spacing w:val="6"/>
              </w:rPr>
              <w:t>项目名称</w:t>
            </w:r>
          </w:p>
        </w:tc>
        <w:tc>
          <w:tcPr>
            <w:tcW w:w="7774" w:type="dxa"/>
            <w:gridSpan w:val="4"/>
            <w:vAlign w:val="center"/>
          </w:tcPr>
          <w:p w14:paraId="36089600">
            <w:pPr>
              <w:pStyle w:val="6"/>
              <w:spacing w:before="57" w:line="261" w:lineRule="auto"/>
              <w:ind w:right="318"/>
              <w:jc w:val="center"/>
              <w:rPr>
                <w:rFonts w:hint="eastAsia"/>
                <w:spacing w:val="9"/>
                <w:lang w:eastAsia="zh-CN"/>
              </w:rPr>
            </w:pPr>
            <w:r>
              <w:rPr>
                <w:rFonts w:hint="eastAsia"/>
                <w:spacing w:val="9"/>
                <w:lang w:val="en-US" w:eastAsia="zh-CN"/>
              </w:rPr>
              <w:t xml:space="preserve"> </w:t>
            </w:r>
            <w:r>
              <w:rPr>
                <w:rFonts w:hint="eastAsia"/>
                <w:spacing w:val="9"/>
                <w:lang w:eastAsia="zh-CN"/>
              </w:rPr>
              <w:t>中国石化山东泰山石油股份有限公司</w:t>
            </w:r>
            <w:r>
              <w:rPr>
                <w:rFonts w:hint="eastAsia"/>
                <w:spacing w:val="9"/>
                <w:lang w:val="en-US" w:eastAsia="zh-CN"/>
              </w:rPr>
              <w:t>宁阳</w:t>
            </w:r>
            <w:r>
              <w:rPr>
                <w:rFonts w:hint="eastAsia"/>
                <w:spacing w:val="9"/>
                <w:lang w:eastAsia="zh-CN"/>
              </w:rPr>
              <w:t>第</w:t>
            </w:r>
            <w:r>
              <w:rPr>
                <w:rFonts w:hint="eastAsia"/>
                <w:spacing w:val="9"/>
                <w:lang w:val="en-US" w:eastAsia="zh-CN"/>
              </w:rPr>
              <w:t>一</w:t>
            </w:r>
            <w:r>
              <w:rPr>
                <w:rFonts w:hint="eastAsia"/>
                <w:spacing w:val="9"/>
                <w:lang w:eastAsia="zh-CN"/>
              </w:rPr>
              <w:t>加油站</w:t>
            </w:r>
          </w:p>
          <w:p w14:paraId="50A5A161">
            <w:pPr>
              <w:pStyle w:val="6"/>
              <w:spacing w:before="57" w:line="261" w:lineRule="auto"/>
              <w:ind w:right="318"/>
              <w:jc w:val="center"/>
            </w:pPr>
            <w:r>
              <w:rPr>
                <w:spacing w:val="9"/>
              </w:rPr>
              <w:t>经营危险化学品</w:t>
            </w:r>
            <w:r>
              <w:rPr>
                <w:rFonts w:hint="eastAsia"/>
                <w:spacing w:val="9"/>
                <w:lang w:val="en-US" w:eastAsia="zh-CN"/>
              </w:rPr>
              <w:t>安全</w:t>
            </w:r>
            <w:r>
              <w:rPr>
                <w:spacing w:val="6"/>
              </w:rPr>
              <w:t>现状评价</w:t>
            </w:r>
          </w:p>
        </w:tc>
      </w:tr>
      <w:tr w14:paraId="0D57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9" w:hRule="atLeast"/>
        </w:trPr>
        <w:tc>
          <w:tcPr>
            <w:tcW w:w="1180" w:type="dxa"/>
            <w:vAlign w:val="top"/>
          </w:tcPr>
          <w:p w14:paraId="1E3F799C">
            <w:pPr>
              <w:spacing w:line="250" w:lineRule="auto"/>
              <w:rPr>
                <w:rFonts w:ascii="Arial"/>
                <w:sz w:val="21"/>
              </w:rPr>
            </w:pPr>
          </w:p>
          <w:p w14:paraId="20F0E89C">
            <w:pPr>
              <w:spacing w:line="250" w:lineRule="auto"/>
              <w:rPr>
                <w:rFonts w:ascii="Arial"/>
                <w:sz w:val="21"/>
              </w:rPr>
            </w:pPr>
          </w:p>
          <w:p w14:paraId="31894B23">
            <w:pPr>
              <w:spacing w:line="250" w:lineRule="auto"/>
              <w:rPr>
                <w:rFonts w:ascii="Arial"/>
                <w:sz w:val="21"/>
              </w:rPr>
            </w:pPr>
          </w:p>
          <w:p w14:paraId="6CEE7778">
            <w:pPr>
              <w:spacing w:line="250" w:lineRule="auto"/>
              <w:rPr>
                <w:rFonts w:ascii="Arial"/>
                <w:sz w:val="21"/>
              </w:rPr>
            </w:pPr>
          </w:p>
          <w:p w14:paraId="2FE2E969">
            <w:pPr>
              <w:spacing w:line="251" w:lineRule="auto"/>
              <w:rPr>
                <w:rFonts w:ascii="Arial"/>
                <w:sz w:val="21"/>
              </w:rPr>
            </w:pPr>
          </w:p>
          <w:p w14:paraId="319DBBD5">
            <w:pPr>
              <w:pStyle w:val="6"/>
              <w:spacing w:before="65" w:line="227" w:lineRule="auto"/>
              <w:ind w:left="120"/>
            </w:pPr>
            <w:r>
              <w:rPr>
                <w:spacing w:val="6"/>
              </w:rPr>
              <w:t>项目简介</w:t>
            </w:r>
          </w:p>
        </w:tc>
        <w:tc>
          <w:tcPr>
            <w:tcW w:w="7774" w:type="dxa"/>
            <w:gridSpan w:val="4"/>
            <w:vAlign w:val="top"/>
          </w:tcPr>
          <w:p w14:paraId="4AAC789C">
            <w:pPr>
              <w:pStyle w:val="6"/>
              <w:spacing w:before="30" w:line="371" w:lineRule="auto"/>
              <w:ind w:left="112" w:right="38" w:firstLine="423"/>
              <w:jc w:val="both"/>
              <w:rPr>
                <w:rFonts w:hint="eastAsia" w:ascii="宋体" w:hAnsi="宋体" w:eastAsia="宋体" w:cs="宋体"/>
                <w:lang w:eastAsia="zh-CN"/>
              </w:rPr>
            </w:pPr>
            <w:r>
              <w:rPr>
                <w:rFonts w:hint="eastAsia" w:ascii="宋体" w:hAnsi="宋体" w:eastAsia="宋体" w:cs="宋体"/>
                <w:lang w:eastAsia="zh-CN"/>
              </w:rPr>
              <w:t>该加油站主要建有站房、油罐区、加油区等。站房在加油区西南侧，现有4台加油机（其中3台双枪、1台单枪），均为自吸式；其油罐采用双层卧式直埋（1台30m392#乙醇汽油罐、1台30m395#汽油罐、1台30m398#汽油罐、1台30m3柴油罐），汽油、柴油卸油口均位于油罐区北侧；罐区共有通气管4根（油气回收处理装置一根）；该站汽油设有卸油油气回收系统、加油油气回收系统及油气处理装置（三次油气回收系统）；按《汽车加油加气加氢站技术标准》 GB50156-2021标准规定：V=90+30/2=105m3，该站属二级加油站。</w:t>
            </w:r>
          </w:p>
        </w:tc>
      </w:tr>
      <w:tr w14:paraId="101AA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863" w:type="dxa"/>
            <w:gridSpan w:val="2"/>
            <w:vAlign w:val="top"/>
          </w:tcPr>
          <w:p w14:paraId="17A967BD">
            <w:pPr>
              <w:pStyle w:val="6"/>
              <w:spacing w:before="303" w:line="226" w:lineRule="auto"/>
              <w:ind w:left="516"/>
            </w:pPr>
            <w:r>
              <w:rPr>
                <w:spacing w:val="7"/>
              </w:rPr>
              <w:t>评价人员</w:t>
            </w:r>
          </w:p>
        </w:tc>
        <w:tc>
          <w:tcPr>
            <w:tcW w:w="5163" w:type="dxa"/>
            <w:gridSpan w:val="2"/>
            <w:vAlign w:val="top"/>
          </w:tcPr>
          <w:p w14:paraId="2BFFD54D">
            <w:pPr>
              <w:pStyle w:val="6"/>
              <w:spacing w:before="303" w:line="228" w:lineRule="auto"/>
              <w:ind w:left="2273"/>
            </w:pPr>
            <w:r>
              <w:t>姓</w:t>
            </w:r>
            <w:r>
              <w:rPr>
                <w:spacing w:val="10"/>
              </w:rPr>
              <w:t xml:space="preserve">  </w:t>
            </w:r>
            <w:r>
              <w:t>名</w:t>
            </w:r>
          </w:p>
        </w:tc>
        <w:tc>
          <w:tcPr>
            <w:tcW w:w="1928" w:type="dxa"/>
            <w:vAlign w:val="top"/>
          </w:tcPr>
          <w:p w14:paraId="7E0C50CA">
            <w:pPr>
              <w:pStyle w:val="6"/>
              <w:spacing w:before="303" w:line="229" w:lineRule="auto"/>
              <w:ind w:left="761"/>
            </w:pPr>
            <w:r>
              <w:rPr>
                <w:spacing w:val="3"/>
              </w:rPr>
              <w:t>备注</w:t>
            </w:r>
          </w:p>
        </w:tc>
      </w:tr>
      <w:tr w14:paraId="6B4D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63" w:type="dxa"/>
            <w:gridSpan w:val="2"/>
            <w:vAlign w:val="top"/>
          </w:tcPr>
          <w:p w14:paraId="152FE82C">
            <w:pPr>
              <w:pStyle w:val="6"/>
              <w:spacing w:before="101" w:line="228" w:lineRule="auto"/>
              <w:ind w:left="415"/>
            </w:pPr>
            <w:r>
              <w:rPr>
                <w:spacing w:val="7"/>
              </w:rPr>
              <w:t>项目负责人</w:t>
            </w:r>
          </w:p>
        </w:tc>
        <w:tc>
          <w:tcPr>
            <w:tcW w:w="5163" w:type="dxa"/>
            <w:gridSpan w:val="2"/>
            <w:vAlign w:val="top"/>
          </w:tcPr>
          <w:p w14:paraId="7F1DFC3C">
            <w:pPr>
              <w:pStyle w:val="6"/>
              <w:spacing w:before="101" w:line="228" w:lineRule="auto"/>
              <w:ind w:left="2280"/>
            </w:pPr>
            <w:r>
              <w:rPr>
                <w:rFonts w:hint="eastAsia"/>
                <w:spacing w:val="7"/>
                <w:lang w:val="en-US" w:eastAsia="zh-CN"/>
              </w:rPr>
              <w:t>辛磊</w:t>
            </w:r>
          </w:p>
        </w:tc>
        <w:tc>
          <w:tcPr>
            <w:tcW w:w="1928" w:type="dxa"/>
            <w:vAlign w:val="top"/>
          </w:tcPr>
          <w:p w14:paraId="1BED8A66">
            <w:pPr>
              <w:rPr>
                <w:rFonts w:ascii="Arial"/>
                <w:sz w:val="21"/>
              </w:rPr>
            </w:pPr>
          </w:p>
        </w:tc>
      </w:tr>
      <w:tr w14:paraId="700A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restart"/>
            <w:tcBorders>
              <w:bottom w:val="nil"/>
            </w:tcBorders>
            <w:vAlign w:val="top"/>
          </w:tcPr>
          <w:p w14:paraId="31978535">
            <w:pPr>
              <w:spacing w:line="259" w:lineRule="auto"/>
              <w:rPr>
                <w:rFonts w:ascii="Arial"/>
                <w:sz w:val="21"/>
              </w:rPr>
            </w:pPr>
          </w:p>
          <w:p w14:paraId="07194E52">
            <w:pPr>
              <w:spacing w:line="260" w:lineRule="auto"/>
              <w:rPr>
                <w:rFonts w:ascii="Arial"/>
                <w:sz w:val="21"/>
              </w:rPr>
            </w:pPr>
          </w:p>
          <w:p w14:paraId="2EEB3D8A">
            <w:pPr>
              <w:spacing w:line="260" w:lineRule="auto"/>
              <w:rPr>
                <w:rFonts w:ascii="Arial"/>
                <w:sz w:val="21"/>
              </w:rPr>
            </w:pPr>
          </w:p>
          <w:p w14:paraId="35731B8D">
            <w:pPr>
              <w:pStyle w:val="6"/>
              <w:spacing w:before="65" w:line="228" w:lineRule="auto"/>
              <w:ind w:left="415"/>
            </w:pPr>
            <w:r>
              <w:rPr>
                <w:spacing w:val="7"/>
              </w:rPr>
              <w:t>项目组成员</w:t>
            </w:r>
          </w:p>
        </w:tc>
        <w:tc>
          <w:tcPr>
            <w:tcW w:w="5163" w:type="dxa"/>
            <w:gridSpan w:val="2"/>
            <w:vAlign w:val="top"/>
          </w:tcPr>
          <w:p w14:paraId="1B2595E1">
            <w:pPr>
              <w:pStyle w:val="6"/>
              <w:spacing w:before="130" w:line="229" w:lineRule="auto"/>
              <w:ind w:firstLine="2288" w:firstLineChars="1100"/>
              <w:rPr>
                <w:rFonts w:hint="eastAsia" w:eastAsia="宋体"/>
                <w:lang w:eastAsia="zh-CN"/>
              </w:rPr>
            </w:pPr>
            <w:r>
              <w:rPr>
                <w:spacing w:val="4"/>
              </w:rPr>
              <w:t>马琳琳</w:t>
            </w:r>
          </w:p>
        </w:tc>
        <w:tc>
          <w:tcPr>
            <w:tcW w:w="1928" w:type="dxa"/>
            <w:vAlign w:val="top"/>
          </w:tcPr>
          <w:p w14:paraId="3AAF62AC">
            <w:pPr>
              <w:rPr>
                <w:rFonts w:ascii="Arial"/>
                <w:sz w:val="21"/>
              </w:rPr>
            </w:pPr>
          </w:p>
        </w:tc>
      </w:tr>
      <w:tr w14:paraId="1746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218410DB">
            <w:pPr>
              <w:rPr>
                <w:rFonts w:ascii="Arial"/>
                <w:sz w:val="21"/>
              </w:rPr>
            </w:pPr>
          </w:p>
        </w:tc>
        <w:tc>
          <w:tcPr>
            <w:tcW w:w="5163" w:type="dxa"/>
            <w:gridSpan w:val="2"/>
            <w:vAlign w:val="top"/>
          </w:tcPr>
          <w:p w14:paraId="050B3E77">
            <w:pPr>
              <w:pStyle w:val="6"/>
              <w:spacing w:before="130" w:line="228" w:lineRule="auto"/>
              <w:ind w:left="2272"/>
              <w:rPr>
                <w:rFonts w:hint="eastAsia" w:eastAsia="宋体"/>
                <w:lang w:val="en-US" w:eastAsia="zh-CN"/>
              </w:rPr>
            </w:pPr>
            <w:r>
              <w:rPr>
                <w:rFonts w:hint="eastAsia"/>
                <w:lang w:val="en-US" w:eastAsia="zh-CN"/>
              </w:rPr>
              <w:t>刘卫国</w:t>
            </w:r>
          </w:p>
        </w:tc>
        <w:tc>
          <w:tcPr>
            <w:tcW w:w="1928" w:type="dxa"/>
            <w:vAlign w:val="top"/>
          </w:tcPr>
          <w:p w14:paraId="669730D4">
            <w:pPr>
              <w:rPr>
                <w:rFonts w:ascii="Arial"/>
                <w:sz w:val="21"/>
              </w:rPr>
            </w:pPr>
          </w:p>
        </w:tc>
      </w:tr>
      <w:tr w14:paraId="4C64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6C4188F0">
            <w:pPr>
              <w:rPr>
                <w:rFonts w:ascii="Arial"/>
                <w:sz w:val="21"/>
              </w:rPr>
            </w:pPr>
          </w:p>
        </w:tc>
        <w:tc>
          <w:tcPr>
            <w:tcW w:w="5163" w:type="dxa"/>
            <w:gridSpan w:val="2"/>
            <w:vAlign w:val="top"/>
          </w:tcPr>
          <w:p w14:paraId="4E7A6962">
            <w:pPr>
              <w:pStyle w:val="6"/>
              <w:spacing w:before="132" w:line="227" w:lineRule="auto"/>
              <w:ind w:left="2378"/>
            </w:pPr>
            <w:r>
              <w:rPr>
                <w:spacing w:val="3"/>
              </w:rPr>
              <w:t>王静</w:t>
            </w:r>
          </w:p>
        </w:tc>
        <w:tc>
          <w:tcPr>
            <w:tcW w:w="1928" w:type="dxa"/>
            <w:vAlign w:val="top"/>
          </w:tcPr>
          <w:p w14:paraId="311C5BE8">
            <w:pPr>
              <w:rPr>
                <w:rFonts w:ascii="Arial"/>
                <w:sz w:val="21"/>
              </w:rPr>
            </w:pPr>
          </w:p>
        </w:tc>
      </w:tr>
      <w:tr w14:paraId="0986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tcBorders>
            <w:vAlign w:val="top"/>
          </w:tcPr>
          <w:p w14:paraId="58580295">
            <w:pPr>
              <w:rPr>
                <w:rFonts w:ascii="Arial"/>
                <w:sz w:val="21"/>
              </w:rPr>
            </w:pPr>
          </w:p>
        </w:tc>
        <w:tc>
          <w:tcPr>
            <w:tcW w:w="5163" w:type="dxa"/>
            <w:gridSpan w:val="2"/>
            <w:vAlign w:val="top"/>
          </w:tcPr>
          <w:p w14:paraId="6B34158D">
            <w:pPr>
              <w:pStyle w:val="6"/>
              <w:spacing w:before="132" w:line="228" w:lineRule="auto"/>
              <w:ind w:left="2273"/>
              <w:rPr>
                <w:rFonts w:hint="eastAsia" w:eastAsia="宋体"/>
                <w:lang w:eastAsia="zh-CN"/>
              </w:rPr>
            </w:pPr>
            <w:r>
              <w:rPr>
                <w:rFonts w:hint="eastAsia"/>
                <w:spacing w:val="6"/>
                <w:lang w:val="en-US" w:eastAsia="zh-CN"/>
              </w:rPr>
              <w:t>刘振忠</w:t>
            </w:r>
          </w:p>
        </w:tc>
        <w:tc>
          <w:tcPr>
            <w:tcW w:w="1928" w:type="dxa"/>
            <w:vAlign w:val="top"/>
          </w:tcPr>
          <w:p w14:paraId="3E3EAFA0">
            <w:pPr>
              <w:rPr>
                <w:rFonts w:ascii="Arial"/>
                <w:sz w:val="21"/>
              </w:rPr>
            </w:pPr>
          </w:p>
        </w:tc>
      </w:tr>
      <w:tr w14:paraId="026F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76B80D44">
            <w:pPr>
              <w:pStyle w:val="6"/>
              <w:spacing w:before="95" w:line="226" w:lineRule="auto"/>
              <w:ind w:left="410"/>
            </w:pPr>
            <w:r>
              <w:rPr>
                <w:spacing w:val="8"/>
              </w:rPr>
              <w:t>报告编制人</w:t>
            </w:r>
          </w:p>
        </w:tc>
        <w:tc>
          <w:tcPr>
            <w:tcW w:w="5163" w:type="dxa"/>
            <w:gridSpan w:val="2"/>
            <w:vAlign w:val="top"/>
          </w:tcPr>
          <w:p w14:paraId="4EE98977">
            <w:pPr>
              <w:pStyle w:val="6"/>
              <w:spacing w:before="96" w:line="228" w:lineRule="auto"/>
              <w:ind w:left="2280"/>
            </w:pPr>
            <w:r>
              <w:rPr>
                <w:spacing w:val="4"/>
              </w:rPr>
              <w:t>马琳琳</w:t>
            </w:r>
          </w:p>
        </w:tc>
        <w:tc>
          <w:tcPr>
            <w:tcW w:w="1928" w:type="dxa"/>
            <w:vAlign w:val="top"/>
          </w:tcPr>
          <w:p w14:paraId="0C0B7CC2">
            <w:pPr>
              <w:rPr>
                <w:rFonts w:ascii="Arial"/>
                <w:sz w:val="21"/>
              </w:rPr>
            </w:pPr>
          </w:p>
        </w:tc>
      </w:tr>
      <w:tr w14:paraId="4B5E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36751E35">
            <w:pPr>
              <w:pStyle w:val="6"/>
              <w:spacing w:before="97" w:line="226" w:lineRule="auto"/>
              <w:ind w:left="410"/>
            </w:pPr>
            <w:r>
              <w:rPr>
                <w:spacing w:val="8"/>
              </w:rPr>
              <w:t>报告审核人</w:t>
            </w:r>
          </w:p>
        </w:tc>
        <w:tc>
          <w:tcPr>
            <w:tcW w:w="5163" w:type="dxa"/>
            <w:gridSpan w:val="2"/>
            <w:vAlign w:val="top"/>
          </w:tcPr>
          <w:p w14:paraId="007E677D">
            <w:pPr>
              <w:pStyle w:val="6"/>
              <w:spacing w:before="97" w:line="229" w:lineRule="auto"/>
              <w:ind w:left="2376"/>
              <w:rPr>
                <w:rFonts w:hint="eastAsia" w:eastAsia="宋体"/>
                <w:lang w:eastAsia="zh-CN"/>
              </w:rPr>
            </w:pPr>
            <w:r>
              <w:rPr>
                <w:rFonts w:hint="eastAsia"/>
                <w:spacing w:val="4"/>
                <w:lang w:val="en-US" w:eastAsia="zh-CN"/>
              </w:rPr>
              <w:t>崔强</w:t>
            </w:r>
          </w:p>
        </w:tc>
        <w:tc>
          <w:tcPr>
            <w:tcW w:w="1928" w:type="dxa"/>
            <w:vAlign w:val="top"/>
          </w:tcPr>
          <w:p w14:paraId="70C89C38">
            <w:pPr>
              <w:rPr>
                <w:rFonts w:ascii="Arial"/>
                <w:sz w:val="21"/>
              </w:rPr>
            </w:pPr>
          </w:p>
        </w:tc>
      </w:tr>
      <w:tr w14:paraId="66CB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863" w:type="dxa"/>
            <w:gridSpan w:val="2"/>
            <w:vAlign w:val="top"/>
          </w:tcPr>
          <w:p w14:paraId="467D9B38">
            <w:pPr>
              <w:pStyle w:val="6"/>
              <w:spacing w:before="110" w:line="228" w:lineRule="auto"/>
              <w:ind w:left="203"/>
            </w:pPr>
            <w:r>
              <w:rPr>
                <w:spacing w:val="8"/>
              </w:rPr>
              <w:t>过程控制负责人</w:t>
            </w:r>
          </w:p>
        </w:tc>
        <w:tc>
          <w:tcPr>
            <w:tcW w:w="5163" w:type="dxa"/>
            <w:gridSpan w:val="2"/>
            <w:vAlign w:val="top"/>
          </w:tcPr>
          <w:p w14:paraId="157CCBC9">
            <w:pPr>
              <w:pStyle w:val="6"/>
              <w:spacing w:before="110" w:line="229" w:lineRule="auto"/>
              <w:ind w:left="2272"/>
            </w:pPr>
            <w:r>
              <w:rPr>
                <w:spacing w:val="7"/>
              </w:rPr>
              <w:t>刘云红</w:t>
            </w:r>
          </w:p>
        </w:tc>
        <w:tc>
          <w:tcPr>
            <w:tcW w:w="1928" w:type="dxa"/>
            <w:vAlign w:val="top"/>
          </w:tcPr>
          <w:p w14:paraId="16925B08">
            <w:pPr>
              <w:rPr>
                <w:rFonts w:ascii="Arial"/>
                <w:sz w:val="21"/>
              </w:rPr>
            </w:pPr>
          </w:p>
        </w:tc>
      </w:tr>
      <w:tr w14:paraId="38CF6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72873030">
            <w:pPr>
              <w:pStyle w:val="6"/>
              <w:spacing w:before="96" w:line="228" w:lineRule="auto"/>
              <w:ind w:left="412"/>
            </w:pPr>
            <w:r>
              <w:rPr>
                <w:spacing w:val="7"/>
              </w:rPr>
              <w:t>技术负责人</w:t>
            </w:r>
          </w:p>
        </w:tc>
        <w:tc>
          <w:tcPr>
            <w:tcW w:w="5163" w:type="dxa"/>
            <w:gridSpan w:val="2"/>
            <w:vAlign w:val="top"/>
          </w:tcPr>
          <w:p w14:paraId="626DB1B1">
            <w:pPr>
              <w:pStyle w:val="6"/>
              <w:spacing w:before="96" w:line="228" w:lineRule="auto"/>
              <w:ind w:left="2272"/>
            </w:pPr>
            <w:r>
              <w:rPr>
                <w:spacing w:val="7"/>
              </w:rPr>
              <w:t>赵云峰</w:t>
            </w:r>
          </w:p>
        </w:tc>
        <w:tc>
          <w:tcPr>
            <w:tcW w:w="1928" w:type="dxa"/>
            <w:vAlign w:val="top"/>
          </w:tcPr>
          <w:p w14:paraId="13C305BE">
            <w:pPr>
              <w:rPr>
                <w:rFonts w:ascii="Arial"/>
                <w:sz w:val="21"/>
              </w:rPr>
            </w:pPr>
          </w:p>
        </w:tc>
      </w:tr>
      <w:tr w14:paraId="39BC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Merge w:val="restart"/>
            <w:tcBorders>
              <w:bottom w:val="nil"/>
            </w:tcBorders>
            <w:vAlign w:val="top"/>
          </w:tcPr>
          <w:p w14:paraId="08DD3268">
            <w:pPr>
              <w:pStyle w:val="6"/>
              <w:spacing w:before="263" w:line="228" w:lineRule="auto"/>
              <w:ind w:left="518"/>
            </w:pPr>
            <w:r>
              <w:rPr>
                <w:spacing w:val="7"/>
              </w:rPr>
              <w:t>技术专家</w:t>
            </w:r>
          </w:p>
          <w:p w14:paraId="1D7CFC9B">
            <w:pPr>
              <w:pStyle w:val="6"/>
              <w:spacing w:before="64" w:line="228" w:lineRule="auto"/>
              <w:ind w:left="205"/>
            </w:pPr>
            <w:r>
              <w:rPr>
                <w:spacing w:val="8"/>
              </w:rPr>
              <w:t>或有关技术人员</w:t>
            </w:r>
          </w:p>
        </w:tc>
        <w:tc>
          <w:tcPr>
            <w:tcW w:w="5163" w:type="dxa"/>
            <w:gridSpan w:val="2"/>
            <w:vAlign w:val="top"/>
          </w:tcPr>
          <w:p w14:paraId="72075C6B">
            <w:pPr>
              <w:rPr>
                <w:rFonts w:ascii="Arial"/>
                <w:sz w:val="21"/>
              </w:rPr>
            </w:pPr>
          </w:p>
        </w:tc>
        <w:tc>
          <w:tcPr>
            <w:tcW w:w="1928" w:type="dxa"/>
            <w:vAlign w:val="top"/>
          </w:tcPr>
          <w:p w14:paraId="6A20BCC0">
            <w:pPr>
              <w:rPr>
                <w:rFonts w:ascii="Arial"/>
                <w:sz w:val="21"/>
              </w:rPr>
            </w:pPr>
          </w:p>
        </w:tc>
      </w:tr>
      <w:tr w14:paraId="0F58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3" w:type="dxa"/>
            <w:gridSpan w:val="2"/>
            <w:vMerge w:val="continue"/>
            <w:tcBorders>
              <w:top w:val="nil"/>
              <w:bottom w:val="nil"/>
            </w:tcBorders>
            <w:vAlign w:val="top"/>
          </w:tcPr>
          <w:p w14:paraId="67789B26">
            <w:pPr>
              <w:rPr>
                <w:rFonts w:ascii="Arial"/>
                <w:sz w:val="21"/>
              </w:rPr>
            </w:pPr>
          </w:p>
        </w:tc>
        <w:tc>
          <w:tcPr>
            <w:tcW w:w="5163" w:type="dxa"/>
            <w:gridSpan w:val="2"/>
            <w:vAlign w:val="top"/>
          </w:tcPr>
          <w:p w14:paraId="68F253BF">
            <w:pPr>
              <w:rPr>
                <w:rFonts w:ascii="Arial"/>
                <w:sz w:val="21"/>
              </w:rPr>
            </w:pPr>
          </w:p>
        </w:tc>
        <w:tc>
          <w:tcPr>
            <w:tcW w:w="1928" w:type="dxa"/>
            <w:vAlign w:val="top"/>
          </w:tcPr>
          <w:p w14:paraId="776B5F62">
            <w:pPr>
              <w:rPr>
                <w:rFonts w:ascii="Arial"/>
                <w:sz w:val="21"/>
              </w:rPr>
            </w:pPr>
          </w:p>
        </w:tc>
      </w:tr>
      <w:tr w14:paraId="4BCA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3" w:type="dxa"/>
            <w:gridSpan w:val="2"/>
            <w:vMerge w:val="continue"/>
            <w:tcBorders>
              <w:top w:val="nil"/>
            </w:tcBorders>
            <w:vAlign w:val="top"/>
          </w:tcPr>
          <w:p w14:paraId="5CF8F96C">
            <w:pPr>
              <w:rPr>
                <w:rFonts w:ascii="Arial"/>
                <w:sz w:val="21"/>
              </w:rPr>
            </w:pPr>
          </w:p>
        </w:tc>
        <w:tc>
          <w:tcPr>
            <w:tcW w:w="5163" w:type="dxa"/>
            <w:gridSpan w:val="2"/>
            <w:vAlign w:val="top"/>
          </w:tcPr>
          <w:p w14:paraId="19C4C330">
            <w:pPr>
              <w:rPr>
                <w:rFonts w:ascii="Arial"/>
                <w:sz w:val="21"/>
              </w:rPr>
            </w:pPr>
          </w:p>
        </w:tc>
        <w:tc>
          <w:tcPr>
            <w:tcW w:w="1928" w:type="dxa"/>
            <w:vAlign w:val="top"/>
          </w:tcPr>
          <w:p w14:paraId="58039929">
            <w:pPr>
              <w:rPr>
                <w:rFonts w:ascii="Arial"/>
                <w:sz w:val="21"/>
              </w:rPr>
            </w:pPr>
          </w:p>
        </w:tc>
      </w:tr>
      <w:tr w14:paraId="5638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Merge w:val="restart"/>
            <w:tcBorders>
              <w:bottom w:val="nil"/>
            </w:tcBorders>
            <w:vAlign w:val="center"/>
          </w:tcPr>
          <w:p w14:paraId="5E6B1A3C">
            <w:pPr>
              <w:pStyle w:val="6"/>
              <w:spacing w:before="65" w:line="273" w:lineRule="auto"/>
              <w:ind w:left="199" w:leftChars="95" w:right="194" w:firstLine="0" w:firstLineChars="0"/>
              <w:jc w:val="both"/>
            </w:pPr>
            <w:r>
              <w:rPr>
                <w:spacing w:val="7"/>
              </w:rPr>
              <w:t>到现场开展安全</w:t>
            </w:r>
            <w:r>
              <w:rPr>
                <w:spacing w:val="8"/>
              </w:rPr>
              <w:t>评价工作情况</w:t>
            </w:r>
          </w:p>
        </w:tc>
        <w:tc>
          <w:tcPr>
            <w:tcW w:w="1662" w:type="dxa"/>
            <w:vAlign w:val="top"/>
          </w:tcPr>
          <w:p w14:paraId="7F79C387">
            <w:pPr>
              <w:pStyle w:val="6"/>
              <w:spacing w:before="95" w:line="230" w:lineRule="auto"/>
              <w:ind w:left="531"/>
            </w:pPr>
            <w:r>
              <w:rPr>
                <w:spacing w:val="-5"/>
              </w:rPr>
              <w:t>时</w:t>
            </w:r>
            <w:r>
              <w:rPr>
                <w:spacing w:val="17"/>
              </w:rPr>
              <w:t xml:space="preserve">  </w:t>
            </w:r>
            <w:r>
              <w:rPr>
                <w:spacing w:val="-5"/>
              </w:rPr>
              <w:t>间</w:t>
            </w:r>
          </w:p>
        </w:tc>
        <w:tc>
          <w:tcPr>
            <w:tcW w:w="3501" w:type="dxa"/>
            <w:vAlign w:val="top"/>
          </w:tcPr>
          <w:p w14:paraId="483CCCD0">
            <w:pPr>
              <w:pStyle w:val="6"/>
              <w:spacing w:before="96" w:line="228" w:lineRule="auto"/>
              <w:ind w:left="1027"/>
            </w:pPr>
            <w:r>
              <w:rPr>
                <w:spacing w:val="7"/>
              </w:rPr>
              <w:t>到现场主要人员</w:t>
            </w:r>
          </w:p>
        </w:tc>
        <w:tc>
          <w:tcPr>
            <w:tcW w:w="1928" w:type="dxa"/>
            <w:vAlign w:val="top"/>
          </w:tcPr>
          <w:p w14:paraId="5D4B95EA">
            <w:pPr>
              <w:pStyle w:val="6"/>
              <w:spacing w:before="95" w:line="228" w:lineRule="auto"/>
              <w:ind w:left="551"/>
            </w:pPr>
            <w:r>
              <w:rPr>
                <w:spacing w:val="6"/>
              </w:rPr>
              <w:t>主要任务</w:t>
            </w:r>
          </w:p>
        </w:tc>
      </w:tr>
      <w:tr w14:paraId="5D5E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63" w:type="dxa"/>
            <w:gridSpan w:val="2"/>
            <w:vMerge w:val="continue"/>
            <w:tcBorders>
              <w:top w:val="nil"/>
              <w:bottom w:val="nil"/>
            </w:tcBorders>
            <w:vAlign w:val="top"/>
          </w:tcPr>
          <w:p w14:paraId="29ED0F8C">
            <w:pPr>
              <w:rPr>
                <w:rFonts w:ascii="Arial"/>
                <w:sz w:val="21"/>
              </w:rPr>
            </w:pPr>
          </w:p>
        </w:tc>
        <w:tc>
          <w:tcPr>
            <w:tcW w:w="1662" w:type="dxa"/>
            <w:vAlign w:val="top"/>
          </w:tcPr>
          <w:p w14:paraId="16F22D48">
            <w:pPr>
              <w:spacing w:before="166"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3.12.25</w:t>
            </w:r>
          </w:p>
        </w:tc>
        <w:tc>
          <w:tcPr>
            <w:tcW w:w="3501" w:type="dxa"/>
            <w:vAlign w:val="top"/>
          </w:tcPr>
          <w:p w14:paraId="4B9D466E">
            <w:pPr>
              <w:pStyle w:val="6"/>
              <w:spacing w:before="130" w:line="227" w:lineRule="auto"/>
              <w:ind w:left="121"/>
            </w:pPr>
            <w:r>
              <w:rPr>
                <w:spacing w:val="4"/>
              </w:rPr>
              <w:t>马琳琳</w:t>
            </w:r>
            <w:r>
              <w:rPr>
                <w:spacing w:val="11"/>
              </w:rPr>
              <w:t xml:space="preserve">  </w:t>
            </w:r>
            <w:r>
              <w:rPr>
                <w:spacing w:val="4"/>
              </w:rPr>
              <w:t>王静</w:t>
            </w:r>
          </w:p>
        </w:tc>
        <w:tc>
          <w:tcPr>
            <w:tcW w:w="1928" w:type="dxa"/>
            <w:vAlign w:val="top"/>
          </w:tcPr>
          <w:p w14:paraId="7D020708">
            <w:pPr>
              <w:pStyle w:val="6"/>
              <w:spacing w:before="131" w:line="228" w:lineRule="auto"/>
              <w:ind w:left="757"/>
            </w:pPr>
            <w:r>
              <w:rPr>
                <w:spacing w:val="5"/>
              </w:rPr>
              <w:t>初访</w:t>
            </w:r>
          </w:p>
        </w:tc>
      </w:tr>
      <w:tr w14:paraId="4C13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4740BB20">
            <w:pPr>
              <w:rPr>
                <w:rFonts w:ascii="Arial"/>
                <w:sz w:val="21"/>
              </w:rPr>
            </w:pPr>
          </w:p>
        </w:tc>
        <w:tc>
          <w:tcPr>
            <w:tcW w:w="1662" w:type="dxa"/>
            <w:vAlign w:val="top"/>
          </w:tcPr>
          <w:p w14:paraId="026CA10C">
            <w:pPr>
              <w:spacing w:before="167"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11.4</w:t>
            </w:r>
          </w:p>
        </w:tc>
        <w:tc>
          <w:tcPr>
            <w:tcW w:w="3501" w:type="dxa"/>
            <w:vAlign w:val="top"/>
          </w:tcPr>
          <w:p w14:paraId="17887980">
            <w:pPr>
              <w:pStyle w:val="6"/>
              <w:spacing w:before="131" w:line="227" w:lineRule="auto"/>
              <w:ind w:left="121"/>
              <w:rPr>
                <w:rFonts w:hint="eastAsia" w:eastAsia="宋体"/>
                <w:lang w:val="en-US" w:eastAsia="zh-CN"/>
              </w:rPr>
            </w:pPr>
            <w:r>
              <w:rPr>
                <w:spacing w:val="4"/>
              </w:rPr>
              <w:t>马琳琳</w:t>
            </w:r>
            <w:r>
              <w:rPr>
                <w:spacing w:val="11"/>
              </w:rPr>
              <w:t xml:space="preserve">  </w:t>
            </w:r>
            <w:r>
              <w:rPr>
                <w:rFonts w:hint="eastAsia"/>
                <w:spacing w:val="11"/>
                <w:lang w:val="en-US" w:eastAsia="zh-CN"/>
              </w:rPr>
              <w:t>辛磊</w:t>
            </w:r>
          </w:p>
        </w:tc>
        <w:tc>
          <w:tcPr>
            <w:tcW w:w="1928" w:type="dxa"/>
            <w:vAlign w:val="top"/>
          </w:tcPr>
          <w:p w14:paraId="4B38081B">
            <w:pPr>
              <w:pStyle w:val="6"/>
              <w:spacing w:before="131" w:line="228" w:lineRule="auto"/>
              <w:ind w:left="551"/>
            </w:pPr>
            <w:r>
              <w:rPr>
                <w:spacing w:val="6"/>
              </w:rPr>
              <w:t>现场考察</w:t>
            </w:r>
          </w:p>
        </w:tc>
      </w:tr>
      <w:tr w14:paraId="335FB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152518A9">
            <w:pPr>
              <w:rPr>
                <w:rFonts w:ascii="Arial"/>
                <w:sz w:val="21"/>
              </w:rPr>
            </w:pPr>
          </w:p>
        </w:tc>
        <w:tc>
          <w:tcPr>
            <w:tcW w:w="1662" w:type="dxa"/>
            <w:vAlign w:val="top"/>
          </w:tcPr>
          <w:p w14:paraId="47C492BB">
            <w:pPr>
              <w:spacing w:before="167"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4.11.15</w:t>
            </w:r>
          </w:p>
        </w:tc>
        <w:tc>
          <w:tcPr>
            <w:tcW w:w="3501" w:type="dxa"/>
            <w:vAlign w:val="top"/>
          </w:tcPr>
          <w:p w14:paraId="305B2291">
            <w:pPr>
              <w:pStyle w:val="6"/>
              <w:spacing w:before="131" w:line="227" w:lineRule="auto"/>
              <w:ind w:left="121"/>
              <w:rPr>
                <w:rFonts w:hint="eastAsia" w:eastAsia="宋体"/>
                <w:lang w:val="en-US" w:eastAsia="zh-CN"/>
              </w:rPr>
            </w:pPr>
            <w:r>
              <w:rPr>
                <w:spacing w:val="4"/>
              </w:rPr>
              <w:t>马琳琳</w:t>
            </w:r>
            <w:r>
              <w:rPr>
                <w:spacing w:val="11"/>
              </w:rPr>
              <w:t xml:space="preserve">  </w:t>
            </w:r>
            <w:r>
              <w:rPr>
                <w:rFonts w:hint="eastAsia"/>
                <w:spacing w:val="11"/>
                <w:lang w:val="en-US" w:eastAsia="zh-CN"/>
              </w:rPr>
              <w:t>辛磊</w:t>
            </w:r>
          </w:p>
        </w:tc>
        <w:tc>
          <w:tcPr>
            <w:tcW w:w="1928" w:type="dxa"/>
            <w:vAlign w:val="top"/>
          </w:tcPr>
          <w:p w14:paraId="5BA9CFF0">
            <w:pPr>
              <w:pStyle w:val="6"/>
              <w:spacing w:before="130" w:line="228" w:lineRule="auto"/>
              <w:ind w:left="551"/>
            </w:pPr>
            <w:r>
              <w:rPr>
                <w:spacing w:val="6"/>
              </w:rPr>
              <w:t>现场检查</w:t>
            </w:r>
          </w:p>
        </w:tc>
      </w:tr>
      <w:tr w14:paraId="35F6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63" w:type="dxa"/>
            <w:gridSpan w:val="2"/>
            <w:vMerge w:val="continue"/>
            <w:tcBorders>
              <w:top w:val="nil"/>
            </w:tcBorders>
            <w:vAlign w:val="top"/>
          </w:tcPr>
          <w:p w14:paraId="6A21231B">
            <w:pPr>
              <w:rPr>
                <w:rFonts w:ascii="Arial"/>
                <w:sz w:val="21"/>
              </w:rPr>
            </w:pPr>
          </w:p>
        </w:tc>
        <w:tc>
          <w:tcPr>
            <w:tcW w:w="1662" w:type="dxa"/>
            <w:vAlign w:val="top"/>
          </w:tcPr>
          <w:p w14:paraId="199E1799">
            <w:pPr>
              <w:rPr>
                <w:rFonts w:ascii="Arial"/>
                <w:sz w:val="21"/>
              </w:rPr>
            </w:pPr>
          </w:p>
        </w:tc>
        <w:tc>
          <w:tcPr>
            <w:tcW w:w="3501" w:type="dxa"/>
            <w:vAlign w:val="top"/>
          </w:tcPr>
          <w:p w14:paraId="58B293B0">
            <w:pPr>
              <w:rPr>
                <w:rFonts w:ascii="Arial"/>
                <w:sz w:val="21"/>
              </w:rPr>
            </w:pPr>
          </w:p>
        </w:tc>
        <w:tc>
          <w:tcPr>
            <w:tcW w:w="1928" w:type="dxa"/>
            <w:vAlign w:val="top"/>
          </w:tcPr>
          <w:p w14:paraId="257CB512">
            <w:pPr>
              <w:rPr>
                <w:rFonts w:ascii="Arial"/>
                <w:sz w:val="21"/>
              </w:rPr>
            </w:pPr>
          </w:p>
        </w:tc>
      </w:tr>
      <w:tr w14:paraId="3C680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954" w:type="dxa"/>
            <w:gridSpan w:val="5"/>
            <w:vAlign w:val="top"/>
          </w:tcPr>
          <w:p w14:paraId="1353F34E">
            <w:pPr>
              <w:pStyle w:val="6"/>
              <w:spacing w:before="98" w:line="226" w:lineRule="auto"/>
              <w:ind w:left="120"/>
              <w:rPr>
                <w:rFonts w:hint="default" w:ascii="Times New Roman" w:hAnsi="Times New Roman" w:eastAsia="宋体" w:cs="Times New Roman"/>
                <w:lang w:val="en-US" w:eastAsia="zh-CN"/>
              </w:rPr>
            </w:pPr>
            <w:r>
              <w:rPr>
                <w:spacing w:val="6"/>
              </w:rPr>
              <w:t>安全评价报告提交时间：</w:t>
            </w:r>
            <w:r>
              <w:rPr>
                <w:rFonts w:ascii="Times New Roman" w:hAnsi="Times New Roman" w:eastAsia="Times New Roman" w:cs="Times New Roman"/>
                <w:spacing w:val="6"/>
              </w:rPr>
              <w:t>2024.</w:t>
            </w:r>
            <w:r>
              <w:rPr>
                <w:rFonts w:hint="eastAsia" w:ascii="Times New Roman" w:hAnsi="Times New Roman" w:eastAsia="宋体" w:cs="Times New Roman"/>
                <w:spacing w:val="6"/>
                <w:lang w:val="en-US" w:eastAsia="zh-CN"/>
              </w:rPr>
              <w:t>11.20</w:t>
            </w:r>
          </w:p>
        </w:tc>
      </w:tr>
      <w:tr w14:paraId="76B2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954" w:type="dxa"/>
            <w:gridSpan w:val="5"/>
            <w:vAlign w:val="top"/>
          </w:tcPr>
          <w:p w14:paraId="282F6E8D">
            <w:pPr>
              <w:pStyle w:val="6"/>
              <w:spacing w:before="111" w:line="228" w:lineRule="auto"/>
              <w:ind w:left="117"/>
            </w:pPr>
            <w:r>
              <w:rPr>
                <w:spacing w:val="8"/>
              </w:rPr>
              <w:t>有必要公开的其它内容：</w:t>
            </w:r>
          </w:p>
        </w:tc>
      </w:tr>
    </w:tbl>
    <w:p w14:paraId="0082686C">
      <w:pPr>
        <w:rPr>
          <w:rFonts w:hint="eastAsia" w:eastAsia="宋体"/>
          <w:lang w:eastAsia="zh-CN"/>
        </w:rPr>
      </w:pPr>
    </w:p>
    <w:p w14:paraId="211DA238">
      <w:pPr>
        <w:rPr>
          <w:rFonts w:hint="eastAsia" w:eastAsia="宋体"/>
          <w:lang w:eastAsia="zh-CN"/>
        </w:rPr>
      </w:pPr>
    </w:p>
    <w:p w14:paraId="27111989">
      <w:pPr>
        <w:rPr>
          <w:rFonts w:hint="eastAsia" w:eastAsia="宋体"/>
          <w:lang w:eastAsia="zh-CN"/>
        </w:rPr>
      </w:pPr>
    </w:p>
    <w:p w14:paraId="21212F5F">
      <w:pPr>
        <w:pStyle w:val="2"/>
        <w:rPr>
          <w:rFonts w:hint="eastAsia" w:eastAsia="宋体"/>
          <w:lang w:eastAsia="zh-CN"/>
        </w:rPr>
      </w:pPr>
    </w:p>
    <w:p w14:paraId="6229847A">
      <w:pPr>
        <w:pStyle w:val="2"/>
        <w:rPr>
          <w:rFonts w:hint="eastAsia" w:eastAsia="宋体"/>
          <w:lang w:eastAsia="zh-CN"/>
        </w:rPr>
      </w:pPr>
      <w:r>
        <w:rPr>
          <w:rFonts w:hint="eastAsia" w:eastAsia="宋体"/>
          <w:lang w:eastAsia="zh-CN"/>
        </w:rPr>
        <w:drawing>
          <wp:inline distT="0" distB="0" distL="114300" distR="114300">
            <wp:extent cx="7615555" cy="5548630"/>
            <wp:effectExtent l="0" t="0" r="1270" b="4445"/>
            <wp:docPr id="8" name="图片 8" descr="312c52ea31e7f66758dee54713d98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2c52ea31e7f66758dee54713d983b"/>
                    <pic:cNvPicPr>
                      <a:picLocks noChangeAspect="1"/>
                    </pic:cNvPicPr>
                  </pic:nvPicPr>
                  <pic:blipFill>
                    <a:blip r:embed="rId6"/>
                    <a:srcRect/>
                    <a:stretch>
                      <a:fillRect/>
                    </a:stretch>
                  </pic:blipFill>
                  <pic:spPr>
                    <a:xfrm rot="5400000">
                      <a:off x="0" y="0"/>
                      <a:ext cx="7615555" cy="5548630"/>
                    </a:xfrm>
                    <a:prstGeom prst="rect">
                      <a:avLst/>
                    </a:prstGeom>
                  </pic:spPr>
                </pic:pic>
              </a:graphicData>
            </a:graphic>
          </wp:inline>
        </w:drawing>
      </w:r>
    </w:p>
    <w:p w14:paraId="059A2321">
      <w:pPr>
        <w:pStyle w:val="2"/>
        <w:rPr>
          <w:rFonts w:hint="default" w:eastAsia="宋体"/>
          <w:lang w:val="en-US" w:eastAsia="zh-CN"/>
        </w:rPr>
      </w:pPr>
    </w:p>
    <w:p w14:paraId="2CDE0619">
      <w:pPr>
        <w:pStyle w:val="2"/>
        <w:ind w:left="0" w:leftChars="0" w:firstLine="0" w:firstLineChars="0"/>
        <w:rPr>
          <w:rFonts w:hint="eastAsia" w:eastAsia="宋体"/>
          <w:lang w:eastAsia="zh-CN"/>
        </w:rPr>
      </w:pPr>
    </w:p>
    <w:p w14:paraId="7D5A2701">
      <w:pPr>
        <w:pStyle w:val="2"/>
        <w:rPr>
          <w:rFonts w:hint="eastAsia" w:eastAsia="宋体"/>
          <w:lang w:eastAsia="zh-CN"/>
        </w:rPr>
      </w:pPr>
    </w:p>
    <w:p w14:paraId="36099316">
      <w:pPr>
        <w:pStyle w:val="2"/>
        <w:rPr>
          <w:rFonts w:hint="eastAsia" w:eastAsia="宋体"/>
          <w:lang w:eastAsia="zh-CN"/>
        </w:rPr>
      </w:pPr>
    </w:p>
    <w:p w14:paraId="472F9B23">
      <w:pPr>
        <w:pStyle w:val="2"/>
        <w:rPr>
          <w:rFonts w:hint="eastAsia" w:eastAsia="宋体"/>
          <w:lang w:eastAsia="zh-CN"/>
        </w:rPr>
      </w:pPr>
    </w:p>
    <w:p w14:paraId="008CC86F">
      <w:pPr>
        <w:pStyle w:val="2"/>
        <w:ind w:left="0" w:leftChars="0" w:firstLine="0" w:firstLineChars="0"/>
        <w:rPr>
          <w:rFonts w:hint="eastAsia" w:eastAsia="宋体"/>
          <w:lang w:eastAsia="zh-CN"/>
        </w:rPr>
      </w:pPr>
      <w:bookmarkStart w:id="63" w:name="_GoBack"/>
      <w:r>
        <w:rPr>
          <w:rFonts w:hint="eastAsia" w:eastAsia="宋体"/>
          <w:lang w:eastAsia="zh-CN"/>
        </w:rPr>
        <w:drawing>
          <wp:inline distT="0" distB="0" distL="114300" distR="114300">
            <wp:extent cx="7721600" cy="5789295"/>
            <wp:effectExtent l="0" t="0" r="1905" b="0"/>
            <wp:docPr id="9" name="图片 9" descr="154bd86901e6deaa3bb165a3141a7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4bd86901e6deaa3bb165a3141a7a9"/>
                    <pic:cNvPicPr>
                      <a:picLocks noChangeAspect="1"/>
                    </pic:cNvPicPr>
                  </pic:nvPicPr>
                  <pic:blipFill>
                    <a:blip r:embed="rId7"/>
                    <a:stretch>
                      <a:fillRect/>
                    </a:stretch>
                  </pic:blipFill>
                  <pic:spPr>
                    <a:xfrm rot="5400000">
                      <a:off x="0" y="0"/>
                      <a:ext cx="7721600" cy="5789295"/>
                    </a:xfrm>
                    <a:prstGeom prst="rect">
                      <a:avLst/>
                    </a:prstGeom>
                  </pic:spPr>
                </pic:pic>
              </a:graphicData>
            </a:graphic>
          </wp:inline>
        </w:drawing>
      </w:r>
      <w:bookmarkEnd w:id="63"/>
    </w:p>
    <w:p w14:paraId="5C70A39A">
      <w:pPr>
        <w:pStyle w:val="2"/>
        <w:ind w:left="0" w:leftChars="0" w:firstLine="0" w:firstLineChars="0"/>
        <w:rPr>
          <w:rFonts w:hint="eastAsia" w:eastAsia="宋体"/>
          <w:lang w:eastAsia="zh-CN"/>
        </w:rPr>
      </w:pPr>
    </w:p>
    <w:p w14:paraId="47877E0B">
      <w:pPr>
        <w:pStyle w:val="2"/>
        <w:ind w:left="0" w:leftChars="0" w:firstLine="0" w:firstLineChars="0"/>
        <w:rPr>
          <w:rFonts w:hint="eastAsia" w:eastAsia="宋体"/>
          <w:lang w:eastAsia="zh-CN"/>
        </w:rPr>
      </w:pPr>
    </w:p>
    <w:p w14:paraId="6F74A0EC">
      <w:pPr>
        <w:pStyle w:val="2"/>
        <w:ind w:left="0" w:leftChars="0" w:firstLine="0" w:firstLineChars="0"/>
        <w:rPr>
          <w:rFonts w:hint="eastAsia" w:eastAsia="宋体"/>
          <w:lang w:eastAsia="zh-CN"/>
        </w:rPr>
      </w:pPr>
    </w:p>
    <w:p w14:paraId="0B90C6FC">
      <w:pPr>
        <w:pStyle w:val="2"/>
        <w:ind w:left="0" w:leftChars="0" w:firstLine="0" w:firstLineChars="0"/>
        <w:rPr>
          <w:rFonts w:hint="eastAsia" w:eastAsia="宋体"/>
          <w:lang w:eastAsia="zh-CN"/>
        </w:rPr>
      </w:pPr>
    </w:p>
    <w:p w14:paraId="5676C1D4">
      <w:pPr>
        <w:pStyle w:val="2"/>
        <w:ind w:left="0" w:leftChars="0" w:firstLine="0" w:firstLineChars="0"/>
        <w:rPr>
          <w:rFonts w:hint="eastAsia" w:eastAsia="宋体"/>
          <w:lang w:eastAsia="zh-CN"/>
        </w:rPr>
      </w:pPr>
    </w:p>
    <w:p w14:paraId="20FCB83E">
      <w:pPr>
        <w:pStyle w:val="2"/>
        <w:ind w:left="0" w:leftChars="0" w:firstLine="0" w:firstLineChars="0"/>
        <w:rPr>
          <w:rFonts w:hint="eastAsia" w:eastAsia="宋体"/>
          <w:lang w:eastAsia="zh-CN"/>
        </w:rPr>
      </w:pPr>
    </w:p>
    <w:p w14:paraId="3DAEC849">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7893685" cy="5818505"/>
            <wp:effectExtent l="0" t="0" r="10795" b="5715"/>
            <wp:docPr id="10" name="图片 10" descr="cb745cf42fc4a5675d8235ce8d963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b745cf42fc4a5675d8235ce8d963ce"/>
                    <pic:cNvPicPr>
                      <a:picLocks noChangeAspect="1"/>
                    </pic:cNvPicPr>
                  </pic:nvPicPr>
                  <pic:blipFill>
                    <a:blip r:embed="rId8"/>
                    <a:srcRect/>
                    <a:stretch>
                      <a:fillRect/>
                    </a:stretch>
                  </pic:blipFill>
                  <pic:spPr>
                    <a:xfrm rot="5400000">
                      <a:off x="0" y="0"/>
                      <a:ext cx="7893685" cy="5818505"/>
                    </a:xfrm>
                    <a:prstGeom prst="rect">
                      <a:avLst/>
                    </a:prstGeom>
                  </pic:spPr>
                </pic:pic>
              </a:graphicData>
            </a:graphic>
          </wp:inline>
        </w:drawing>
      </w:r>
    </w:p>
    <w:p w14:paraId="28246EF6">
      <w:pPr>
        <w:pStyle w:val="2"/>
        <w:ind w:left="0" w:leftChars="0" w:firstLine="0" w:firstLineChars="0"/>
        <w:rPr>
          <w:rFonts w:hint="eastAsia" w:eastAsia="宋体"/>
          <w:lang w:eastAsia="zh-CN"/>
        </w:rPr>
      </w:pPr>
    </w:p>
    <w:p w14:paraId="23D6C48E">
      <w:pPr>
        <w:pStyle w:val="2"/>
        <w:ind w:left="0" w:leftChars="0" w:firstLine="0" w:firstLineChars="0"/>
        <w:rPr>
          <w:rFonts w:hint="eastAsia" w:eastAsia="宋体"/>
          <w:lang w:eastAsia="zh-CN"/>
        </w:rPr>
      </w:pPr>
    </w:p>
    <w:p w14:paraId="34CDEE85">
      <w:pPr>
        <w:pStyle w:val="2"/>
        <w:ind w:left="0" w:leftChars="0" w:firstLine="0" w:firstLineChars="0"/>
        <w:rPr>
          <w:rFonts w:hint="eastAsia" w:eastAsia="宋体"/>
          <w:lang w:eastAsia="zh-CN"/>
        </w:rPr>
      </w:pPr>
    </w:p>
    <w:p w14:paraId="61E117D0">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853430" cy="4390390"/>
            <wp:effectExtent l="0" t="0" r="1270" b="3810"/>
            <wp:docPr id="11" name="图片 11" descr="IMG_20241115_14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241115_140651"/>
                    <pic:cNvPicPr>
                      <a:picLocks noChangeAspect="1"/>
                    </pic:cNvPicPr>
                  </pic:nvPicPr>
                  <pic:blipFill>
                    <a:blip r:embed="rId9"/>
                    <a:stretch>
                      <a:fillRect/>
                    </a:stretch>
                  </pic:blipFill>
                  <pic:spPr>
                    <a:xfrm>
                      <a:off x="0" y="0"/>
                      <a:ext cx="5853430" cy="4390390"/>
                    </a:xfrm>
                    <a:prstGeom prst="rect">
                      <a:avLst/>
                    </a:prstGeom>
                  </pic:spPr>
                </pic:pic>
              </a:graphicData>
            </a:graphic>
          </wp:inline>
        </w:drawing>
      </w:r>
    </w:p>
    <w:p w14:paraId="056DDC4B">
      <w:pPr>
        <w:pStyle w:val="2"/>
        <w:ind w:left="0" w:leftChars="0" w:firstLine="0" w:firstLineChars="0"/>
        <w:rPr>
          <w:rFonts w:hint="eastAsia" w:eastAsia="宋体"/>
          <w:lang w:eastAsia="zh-CN"/>
        </w:rPr>
      </w:pPr>
    </w:p>
    <w:p w14:paraId="74A35CDA">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835015" cy="4375785"/>
            <wp:effectExtent l="0" t="0" r="6985" b="5715"/>
            <wp:docPr id="12" name="图片 12" descr="IMG_20241115_14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241115_140630"/>
                    <pic:cNvPicPr>
                      <a:picLocks noChangeAspect="1"/>
                    </pic:cNvPicPr>
                  </pic:nvPicPr>
                  <pic:blipFill>
                    <a:blip r:embed="rId10"/>
                    <a:stretch>
                      <a:fillRect/>
                    </a:stretch>
                  </pic:blipFill>
                  <pic:spPr>
                    <a:xfrm>
                      <a:off x="0" y="0"/>
                      <a:ext cx="5835015" cy="4375785"/>
                    </a:xfrm>
                    <a:prstGeom prst="rect">
                      <a:avLst/>
                    </a:prstGeom>
                  </pic:spPr>
                </pic:pic>
              </a:graphicData>
            </a:graphic>
          </wp:inline>
        </w:drawing>
      </w:r>
    </w:p>
    <w:p w14:paraId="5C9E3DD9">
      <w:pPr>
        <w:pStyle w:val="9"/>
        <w:widowControl w:val="0"/>
        <w:adjustRightInd w:val="0"/>
        <w:snapToGrid w:val="0"/>
        <w:spacing w:before="0" w:beforeLines="0" w:after="0" w:afterLines="0" w:line="360" w:lineRule="auto"/>
        <w:rPr>
          <w:color w:val="auto"/>
        </w:rPr>
      </w:pPr>
      <w:bookmarkStart w:id="0" w:name="_Toc15033742"/>
      <w:bookmarkStart w:id="1" w:name="_Toc102633895"/>
      <w:bookmarkStart w:id="2" w:name="_Toc102634395"/>
      <w:bookmarkStart w:id="3" w:name="_Toc102634226"/>
      <w:bookmarkStart w:id="4" w:name="_Toc102633969"/>
      <w:r>
        <w:rPr>
          <w:color w:val="auto"/>
        </w:rPr>
        <w:t>第二章 加油站概况</w:t>
      </w:r>
      <w:bookmarkEnd w:id="0"/>
      <w:bookmarkEnd w:id="1"/>
      <w:bookmarkEnd w:id="2"/>
      <w:bookmarkEnd w:id="3"/>
      <w:bookmarkEnd w:id="4"/>
    </w:p>
    <w:p w14:paraId="017A04D2">
      <w:pPr>
        <w:snapToGrid w:val="0"/>
        <w:spacing w:line="360" w:lineRule="auto"/>
        <w:jc w:val="center"/>
        <w:outlineLvl w:val="1"/>
        <w:rPr>
          <w:rFonts w:ascii="Calibri" w:hAnsi="Calibri" w:eastAsia="楷体_GB2312"/>
          <w:b/>
          <w:color w:val="auto"/>
          <w:kern w:val="0"/>
          <w:sz w:val="32"/>
          <w:szCs w:val="20"/>
        </w:rPr>
      </w:pPr>
      <w:bookmarkStart w:id="5" w:name="_Toc102634227"/>
      <w:bookmarkStart w:id="6" w:name="_Toc102634396"/>
      <w:bookmarkStart w:id="7" w:name="_Toc15033743"/>
      <w:bookmarkStart w:id="8" w:name="_Toc272364524"/>
      <w:bookmarkStart w:id="9" w:name="_Toc30066"/>
      <w:bookmarkStart w:id="10" w:name="_Toc208733856"/>
      <w:bookmarkStart w:id="11" w:name="_Toc26504"/>
      <w:bookmarkStart w:id="12" w:name="_Toc102633970"/>
      <w:bookmarkStart w:id="13" w:name="_Toc102633896"/>
      <w:r>
        <w:rPr>
          <w:rFonts w:ascii="Calibri" w:hAnsi="Calibri" w:eastAsia="楷体_GB2312"/>
          <w:b/>
          <w:color w:val="auto"/>
          <w:kern w:val="0"/>
          <w:sz w:val="32"/>
          <w:szCs w:val="20"/>
        </w:rPr>
        <w:t>第一节 加油站基本情况</w:t>
      </w:r>
      <w:bookmarkEnd w:id="5"/>
      <w:bookmarkEnd w:id="6"/>
      <w:bookmarkEnd w:id="7"/>
      <w:bookmarkEnd w:id="8"/>
      <w:bookmarkEnd w:id="9"/>
      <w:bookmarkEnd w:id="10"/>
      <w:bookmarkEnd w:id="11"/>
      <w:bookmarkEnd w:id="12"/>
      <w:bookmarkEnd w:id="13"/>
    </w:p>
    <w:p w14:paraId="7EA8CEE7">
      <w:pPr>
        <w:adjustRightInd w:val="0"/>
        <w:snapToGrid w:val="0"/>
        <w:spacing w:line="360" w:lineRule="auto"/>
        <w:ind w:firstLine="560" w:firstLineChars="200"/>
        <w:rPr>
          <w:rFonts w:ascii="宋体"/>
          <w:color w:val="000000" w:themeColor="text1"/>
          <w14:textFill>
            <w14:solidFill>
              <w14:schemeClr w14:val="tx1"/>
            </w14:solidFill>
          </w14:textFill>
        </w:rPr>
      </w:pPr>
      <w:r>
        <w:rPr>
          <w:rFonts w:hint="eastAsia" w:ascii="宋体" w:hAnsi="宋体"/>
          <w:sz w:val="28"/>
          <w:szCs w:val="28"/>
        </w:rPr>
        <w:t>中国石化山东泰山石油股份有限公司宁阳第一加油站位于山东省</w:t>
      </w:r>
      <w:r>
        <w:rPr>
          <w:rFonts w:hint="eastAsia" w:ascii="宋体" w:hAnsi="宋体"/>
          <w:color w:val="000000" w:themeColor="text1"/>
          <w:sz w:val="28"/>
          <w:szCs w:val="28"/>
          <w14:textFill>
            <w14:solidFill>
              <w14:schemeClr w14:val="tx1"/>
            </w14:solidFill>
          </w14:textFill>
        </w:rPr>
        <w:t>泰安市宁阳县城北关路227号</w:t>
      </w:r>
      <w:r>
        <w:rPr>
          <w:rFonts w:hint="eastAsia" w:ascii="宋体" w:hAnsi="宋体" w:cs="宋体"/>
          <w:color w:val="000000" w:themeColor="text1"/>
          <w:sz w:val="28"/>
          <w14:textFill>
            <w14:solidFill>
              <w14:schemeClr w14:val="tx1"/>
            </w14:solidFill>
          </w14:textFill>
        </w:rPr>
        <w:t>，</w:t>
      </w:r>
      <w:r>
        <w:rPr>
          <w:rFonts w:hint="eastAsia" w:ascii="宋体" w:hAnsi="宋体" w:cs="宋体"/>
          <w:sz w:val="28"/>
          <w:szCs w:val="28"/>
        </w:rPr>
        <w:t>加油站北侧为民房、南侧为民房、</w:t>
      </w:r>
      <w:r>
        <w:rPr>
          <w:rFonts w:hint="eastAsia" w:ascii="宋体" w:hAnsi="宋体" w:cs="宋体"/>
          <w:color w:val="000000" w:themeColor="text1"/>
          <w:sz w:val="28"/>
          <w:szCs w:val="28"/>
          <w14:textFill>
            <w14:solidFill>
              <w14:schemeClr w14:val="tx1"/>
            </w14:solidFill>
          </w14:textFill>
        </w:rPr>
        <w:t>西侧是中石化宁阳分公司、</w:t>
      </w:r>
      <w:r>
        <w:rPr>
          <w:rFonts w:hint="eastAsia" w:ascii="宋体" w:hAnsi="宋体" w:cs="宋体"/>
          <w:sz w:val="28"/>
          <w:szCs w:val="28"/>
        </w:rPr>
        <w:t>东侧是</w:t>
      </w:r>
      <w:r>
        <w:rPr>
          <w:rFonts w:hint="eastAsia" w:ascii="宋体" w:hAnsi="宋体" w:cs="宋体"/>
          <w:color w:val="000000" w:themeColor="text1"/>
          <w:sz w:val="28"/>
          <w:szCs w:val="28"/>
          <w14:textFill>
            <w14:solidFill>
              <w14:schemeClr w14:val="tx1"/>
            </w14:solidFill>
          </w14:textFill>
        </w:rPr>
        <w:t>文庙西路（原名北关路）</w:t>
      </w:r>
      <w:r>
        <w:rPr>
          <w:rFonts w:hint="eastAsia" w:ascii="宋体" w:hAnsi="宋体" w:cs="宋体"/>
          <w:sz w:val="28"/>
          <w:szCs w:val="28"/>
        </w:rPr>
        <w:t>。</w:t>
      </w:r>
      <w:r>
        <w:rPr>
          <w:rFonts w:hint="eastAsia" w:ascii="宋体" w:hAnsi="宋体"/>
          <w:sz w:val="28"/>
        </w:rPr>
        <w:t>该站经营许可范围为汽油、乙醇汽油、柴油，现其主要储存经营汽油、乙醇汽油、柴油</w:t>
      </w:r>
      <w:r>
        <w:rPr>
          <w:rFonts w:hint="eastAsia" w:ascii="宋体" w:hAnsi="宋体"/>
          <w:snapToGrid w:val="0"/>
          <w:kern w:val="0"/>
          <w:sz w:val="28"/>
        </w:rPr>
        <w:t>（0#与-10#换季销售）。</w:t>
      </w:r>
      <w:r>
        <w:rPr>
          <w:rFonts w:hint="eastAsia" w:ascii="宋体" w:hAnsi="宋体"/>
          <w:color w:val="000000" w:themeColor="text1"/>
          <w:sz w:val="28"/>
          <w14:textFill>
            <w14:solidFill>
              <w14:schemeClr w14:val="tx1"/>
            </w14:solidFill>
          </w14:textFill>
        </w:rPr>
        <w:t>此次现状评价报告与三年前报告相比，周边关系未发生变化，总平面布置中洗车机已拆除。</w:t>
      </w:r>
    </w:p>
    <w:p w14:paraId="0E99D3D8">
      <w:pPr>
        <w:pStyle w:val="8"/>
        <w:widowControl w:val="0"/>
        <w:adjustRightInd w:val="0"/>
        <w:snapToGrid w:val="0"/>
        <w:spacing w:line="360" w:lineRule="auto"/>
        <w:ind w:firstLine="560"/>
        <w:rPr>
          <w:rFonts w:ascii="宋体"/>
          <w:vertAlign w:val="superscript"/>
        </w:rPr>
      </w:pPr>
      <w:r>
        <w:rPr>
          <w:rFonts w:hint="eastAsia" w:ascii="宋体" w:hAnsi="宋体"/>
          <w:szCs w:val="28"/>
        </w:rPr>
        <w:t>该加油站主要建有站房、油罐区、加油区等。站房在加油区西南侧，</w:t>
      </w:r>
      <w:r>
        <w:rPr>
          <w:rFonts w:hint="eastAsia" w:ascii="宋体" w:hAnsi="宋体"/>
          <w:kern w:val="2"/>
          <w:szCs w:val="21"/>
        </w:rPr>
        <w:t>现有4台加油机（其中3台双枪、1台单枪）</w:t>
      </w:r>
      <w:r>
        <w:rPr>
          <w:rFonts w:hint="eastAsia"/>
        </w:rPr>
        <w:t>，</w:t>
      </w:r>
      <w:r>
        <w:rPr>
          <w:rFonts w:hint="eastAsia" w:ascii="宋体" w:hAnsi="宋体"/>
          <w:color w:val="000000" w:themeColor="text1"/>
          <w:kern w:val="2"/>
          <w:szCs w:val="21"/>
          <w14:textFill>
            <w14:solidFill>
              <w14:schemeClr w14:val="tx1"/>
            </w14:solidFill>
          </w14:textFill>
        </w:rPr>
        <w:t>均为自吸式</w:t>
      </w:r>
      <w:r>
        <w:rPr>
          <w:rFonts w:hint="eastAsia" w:ascii="宋体"/>
        </w:rPr>
        <w:t>；其</w:t>
      </w:r>
      <w:r>
        <w:rPr>
          <w:rFonts w:hint="eastAsia" w:ascii="宋体" w:hAnsi="宋体"/>
          <w:szCs w:val="28"/>
        </w:rPr>
        <w:t>油罐采用双层卧式直埋（1</w:t>
      </w:r>
      <w:r>
        <w:rPr>
          <w:rFonts w:hint="eastAsia" w:ascii="宋体"/>
        </w:rPr>
        <w:t>台3</w:t>
      </w:r>
      <w:r>
        <w:rPr>
          <w:rFonts w:ascii="宋体"/>
        </w:rPr>
        <w:t>0</w:t>
      </w:r>
      <w:r>
        <w:rPr>
          <w:rFonts w:hint="eastAsia" w:ascii="宋体"/>
        </w:rPr>
        <w:t>m</w:t>
      </w:r>
      <w:r>
        <w:rPr>
          <w:rFonts w:hint="eastAsia" w:ascii="宋体"/>
          <w:vertAlign w:val="superscript"/>
        </w:rPr>
        <w:t>3</w:t>
      </w:r>
      <w:r>
        <w:rPr>
          <w:rFonts w:hint="eastAsia" w:ascii="宋体"/>
        </w:rPr>
        <w:t>92#乙醇汽油罐、</w:t>
      </w:r>
      <w:r>
        <w:rPr>
          <w:rFonts w:hint="eastAsia" w:ascii="宋体" w:hAnsi="宋体"/>
          <w:szCs w:val="28"/>
        </w:rPr>
        <w:t>1</w:t>
      </w:r>
      <w:r>
        <w:rPr>
          <w:rFonts w:hint="eastAsia" w:ascii="宋体"/>
        </w:rPr>
        <w:t>台3</w:t>
      </w:r>
      <w:r>
        <w:rPr>
          <w:rFonts w:ascii="宋体"/>
        </w:rPr>
        <w:t>0</w:t>
      </w:r>
      <w:r>
        <w:rPr>
          <w:rFonts w:hint="eastAsia" w:ascii="宋体"/>
        </w:rPr>
        <w:t>m</w:t>
      </w:r>
      <w:r>
        <w:rPr>
          <w:rFonts w:hint="eastAsia" w:ascii="宋体"/>
          <w:vertAlign w:val="superscript"/>
        </w:rPr>
        <w:t>3</w:t>
      </w:r>
      <w:r>
        <w:rPr>
          <w:rFonts w:hint="eastAsia" w:ascii="宋体"/>
        </w:rPr>
        <w:t>95#汽油罐、</w:t>
      </w:r>
      <w:r>
        <w:rPr>
          <w:rFonts w:hint="eastAsia" w:ascii="宋体" w:hAnsi="宋体"/>
          <w:szCs w:val="28"/>
        </w:rPr>
        <w:t>1</w:t>
      </w:r>
      <w:r>
        <w:rPr>
          <w:rFonts w:hint="eastAsia" w:ascii="宋体"/>
        </w:rPr>
        <w:t>台3</w:t>
      </w:r>
      <w:r>
        <w:rPr>
          <w:rFonts w:ascii="宋体"/>
        </w:rPr>
        <w:t>0</w:t>
      </w:r>
      <w:r>
        <w:rPr>
          <w:rFonts w:hint="eastAsia" w:ascii="宋体"/>
        </w:rPr>
        <w:t>m</w:t>
      </w:r>
      <w:r>
        <w:rPr>
          <w:rFonts w:hint="eastAsia" w:ascii="宋体"/>
          <w:vertAlign w:val="superscript"/>
        </w:rPr>
        <w:t>3</w:t>
      </w:r>
      <w:r>
        <w:rPr>
          <w:rFonts w:hint="eastAsia" w:ascii="宋体"/>
        </w:rPr>
        <w:t>98#汽油罐、1台3</w:t>
      </w:r>
      <w:r>
        <w:rPr>
          <w:rFonts w:ascii="宋体"/>
        </w:rPr>
        <w:t>0</w:t>
      </w:r>
      <w:r>
        <w:rPr>
          <w:rFonts w:hint="eastAsia" w:ascii="宋体"/>
        </w:rPr>
        <w:t>m</w:t>
      </w:r>
      <w:r>
        <w:rPr>
          <w:rFonts w:hint="eastAsia" w:ascii="宋体"/>
          <w:vertAlign w:val="superscript"/>
        </w:rPr>
        <w:t>3</w:t>
      </w:r>
      <w:r>
        <w:rPr>
          <w:rFonts w:hint="eastAsia" w:ascii="宋体"/>
        </w:rPr>
        <w:t>柴油罐），汽油、柴油卸油口均位于油罐区北侧；罐区共有通气管4根（油气回收处理装置一根）；该站汽油设有卸油油气回收系统、加油油气回收系统及油气处理装置（三次油气回收系统）；按《汽车加油加气加氢站技术标准》 GB50156-2021标准规定：V=90+30/2=105m</w:t>
      </w:r>
      <w:r>
        <w:rPr>
          <w:rFonts w:hint="eastAsia" w:ascii="宋体"/>
          <w:vertAlign w:val="superscript"/>
        </w:rPr>
        <w:t>3</w:t>
      </w:r>
      <w:r>
        <w:rPr>
          <w:rFonts w:hint="eastAsia" w:ascii="宋体"/>
        </w:rPr>
        <w:t>，该站属二级加油站。</w:t>
      </w:r>
    </w:p>
    <w:p w14:paraId="50F8E071">
      <w:pPr>
        <w:pStyle w:val="10"/>
        <w:widowControl w:val="0"/>
        <w:adjustRightInd w:val="0"/>
        <w:snapToGrid w:val="0"/>
        <w:spacing w:line="360" w:lineRule="auto"/>
        <w:outlineLvl w:val="9"/>
      </w:pPr>
      <w:r>
        <w:t>表</w:t>
      </w:r>
      <w:r>
        <w:rPr>
          <w:rFonts w:ascii="黑体" w:hAnsi="黑体"/>
        </w:rPr>
        <w:t xml:space="preserve">2.1-1 </w:t>
      </w:r>
      <w:r>
        <w:t>加油站的等级划分</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3191"/>
        <w:gridCol w:w="3199"/>
      </w:tblGrid>
      <w:tr w14:paraId="60AA8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6C71CAC">
            <w:pPr>
              <w:pStyle w:val="11"/>
              <w:widowControl w:val="0"/>
              <w:spacing w:line="360" w:lineRule="auto"/>
              <w:rPr>
                <w:rFonts w:hint="eastAsia"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14:paraId="4FA3F994">
            <w:pPr>
              <w:pStyle w:val="11"/>
              <w:widowControl w:val="0"/>
              <w:spacing w:line="360" w:lineRule="auto"/>
              <w:rPr>
                <w:rFonts w:hint="eastAsia"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14:paraId="2D5DC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A5AF6E0">
            <w:pPr>
              <w:pStyle w:val="11"/>
              <w:widowControl w:val="0"/>
              <w:spacing w:line="360" w:lineRule="auto"/>
              <w:rPr>
                <w:rFonts w:hint="eastAsia" w:ascii="宋体" w:hAnsi="宋体"/>
                <w:b/>
                <w:bCs/>
              </w:rPr>
            </w:pPr>
          </w:p>
        </w:tc>
        <w:tc>
          <w:tcPr>
            <w:tcW w:w="1667" w:type="pct"/>
            <w:vAlign w:val="center"/>
          </w:tcPr>
          <w:p w14:paraId="5EBDB595">
            <w:pPr>
              <w:pStyle w:val="11"/>
              <w:widowControl w:val="0"/>
              <w:spacing w:line="360" w:lineRule="auto"/>
              <w:rPr>
                <w:rFonts w:hint="eastAsia" w:ascii="宋体" w:hAnsi="宋体"/>
                <w:b/>
                <w:bCs/>
              </w:rPr>
            </w:pPr>
            <w:r>
              <w:rPr>
                <w:rFonts w:ascii="宋体" w:hAnsi="宋体"/>
                <w:b/>
                <w:bCs/>
              </w:rPr>
              <w:t>总容积</w:t>
            </w:r>
            <w:r>
              <w:rPr>
                <w:rFonts w:hint="eastAsia" w:ascii="宋体" w:hAnsi="宋体"/>
                <w:b/>
                <w:bCs/>
              </w:rPr>
              <w:t>V</w:t>
            </w:r>
          </w:p>
        </w:tc>
        <w:tc>
          <w:tcPr>
            <w:tcW w:w="1671" w:type="pct"/>
            <w:vAlign w:val="center"/>
          </w:tcPr>
          <w:p w14:paraId="2EEBF689">
            <w:pPr>
              <w:pStyle w:val="11"/>
              <w:widowControl w:val="0"/>
              <w:spacing w:line="360" w:lineRule="auto"/>
              <w:rPr>
                <w:rFonts w:hint="eastAsia" w:ascii="宋体" w:hAnsi="宋体"/>
                <w:b/>
                <w:bCs/>
              </w:rPr>
            </w:pPr>
            <w:r>
              <w:rPr>
                <w:rFonts w:ascii="宋体" w:hAnsi="宋体"/>
                <w:b/>
                <w:bCs/>
              </w:rPr>
              <w:t>单罐容积</w:t>
            </w:r>
          </w:p>
        </w:tc>
      </w:tr>
      <w:tr w14:paraId="062EC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1500C8E">
            <w:pPr>
              <w:pStyle w:val="11"/>
              <w:widowControl w:val="0"/>
              <w:spacing w:line="360" w:lineRule="auto"/>
              <w:rPr>
                <w:rFonts w:hint="eastAsia" w:ascii="宋体" w:hAnsi="宋体"/>
              </w:rPr>
            </w:pPr>
            <w:r>
              <w:rPr>
                <w:rFonts w:ascii="宋体" w:hAnsi="宋体"/>
              </w:rPr>
              <w:t>一级</w:t>
            </w:r>
          </w:p>
        </w:tc>
        <w:tc>
          <w:tcPr>
            <w:tcW w:w="1667" w:type="pct"/>
            <w:vAlign w:val="center"/>
          </w:tcPr>
          <w:p w14:paraId="76FE4AEC">
            <w:pPr>
              <w:pStyle w:val="11"/>
              <w:widowControl w:val="0"/>
              <w:spacing w:line="360" w:lineRule="auto"/>
              <w:rPr>
                <w:rFonts w:hint="eastAsia"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14:paraId="148D2770">
            <w:pPr>
              <w:pStyle w:val="11"/>
              <w:widowControl w:val="0"/>
              <w:spacing w:line="360" w:lineRule="auto"/>
              <w:rPr>
                <w:rFonts w:hint="eastAsia" w:ascii="宋体" w:hAnsi="宋体"/>
              </w:rPr>
            </w:pPr>
            <w:r>
              <w:rPr>
                <w:rFonts w:hint="eastAsia" w:ascii="宋体" w:hAnsi="宋体"/>
              </w:rPr>
              <w:t>≤</w:t>
            </w:r>
            <w:r>
              <w:rPr>
                <w:rFonts w:ascii="宋体" w:hAnsi="宋体"/>
              </w:rPr>
              <w:t>50</w:t>
            </w:r>
          </w:p>
        </w:tc>
      </w:tr>
      <w:tr w14:paraId="06567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AC95A26">
            <w:pPr>
              <w:pStyle w:val="11"/>
              <w:widowControl w:val="0"/>
              <w:spacing w:line="360" w:lineRule="auto"/>
              <w:rPr>
                <w:rFonts w:hint="eastAsia" w:ascii="宋体" w:hAnsi="宋体"/>
              </w:rPr>
            </w:pPr>
            <w:r>
              <w:rPr>
                <w:rFonts w:ascii="宋体" w:hAnsi="宋体"/>
              </w:rPr>
              <w:t>二级</w:t>
            </w:r>
          </w:p>
        </w:tc>
        <w:tc>
          <w:tcPr>
            <w:tcW w:w="1667" w:type="pct"/>
            <w:vAlign w:val="center"/>
          </w:tcPr>
          <w:p w14:paraId="29943C26">
            <w:pPr>
              <w:pStyle w:val="11"/>
              <w:widowControl w:val="0"/>
              <w:spacing w:line="360" w:lineRule="auto"/>
              <w:rPr>
                <w:rFonts w:hint="eastAsia"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14:paraId="36D43733">
            <w:pPr>
              <w:pStyle w:val="11"/>
              <w:widowControl w:val="0"/>
              <w:spacing w:line="360" w:lineRule="auto"/>
              <w:rPr>
                <w:rFonts w:hint="eastAsia" w:ascii="宋体" w:hAnsi="宋体"/>
              </w:rPr>
            </w:pPr>
            <w:r>
              <w:rPr>
                <w:rFonts w:hint="eastAsia" w:ascii="宋体" w:hAnsi="宋体"/>
              </w:rPr>
              <w:t>≤</w:t>
            </w:r>
            <w:r>
              <w:rPr>
                <w:rFonts w:ascii="宋体" w:hAnsi="宋体"/>
              </w:rPr>
              <w:t>50</w:t>
            </w:r>
          </w:p>
        </w:tc>
      </w:tr>
      <w:tr w14:paraId="127D1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F4413C5">
            <w:pPr>
              <w:pStyle w:val="11"/>
              <w:widowControl w:val="0"/>
              <w:spacing w:line="360" w:lineRule="auto"/>
              <w:rPr>
                <w:rFonts w:hint="eastAsia" w:ascii="宋体" w:hAnsi="宋体"/>
              </w:rPr>
            </w:pPr>
            <w:r>
              <w:rPr>
                <w:rFonts w:ascii="宋体" w:hAnsi="宋体"/>
              </w:rPr>
              <w:t>三级</w:t>
            </w:r>
          </w:p>
        </w:tc>
        <w:tc>
          <w:tcPr>
            <w:tcW w:w="1667" w:type="pct"/>
            <w:vAlign w:val="center"/>
          </w:tcPr>
          <w:p w14:paraId="31B73207">
            <w:pPr>
              <w:pStyle w:val="11"/>
              <w:widowControl w:val="0"/>
              <w:spacing w:line="360" w:lineRule="auto"/>
              <w:rPr>
                <w:rFonts w:hint="eastAsia"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14:paraId="5C06F8A1">
            <w:pPr>
              <w:pStyle w:val="11"/>
              <w:widowControl w:val="0"/>
              <w:spacing w:line="360" w:lineRule="auto"/>
              <w:rPr>
                <w:rFonts w:hint="eastAsia"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14:paraId="6465A47A">
      <w:pPr>
        <w:pStyle w:val="12"/>
        <w:widowControl w:val="0"/>
        <w:spacing w:line="360" w:lineRule="auto"/>
        <w:ind w:firstLine="436"/>
      </w:pPr>
      <w:r>
        <w:t>注：</w:t>
      </w:r>
      <w:r>
        <w:rPr>
          <w:rFonts w:hint="eastAsia"/>
        </w:rPr>
        <w:t>V为油罐总容积。</w:t>
      </w:r>
      <w:r>
        <w:t>柴油罐容积可折半计入油罐总容积。</w:t>
      </w:r>
    </w:p>
    <w:p w14:paraId="2A63CD3D">
      <w:pPr>
        <w:pStyle w:val="8"/>
        <w:widowControl w:val="0"/>
        <w:spacing w:line="360" w:lineRule="auto"/>
        <w:ind w:firstLine="560"/>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该站现有职工</w:t>
      </w:r>
      <w:r>
        <w:rPr>
          <w:rFonts w:hint="eastAsia" w:ascii="宋体"/>
          <w:color w:val="000000" w:themeColor="text1"/>
          <w14:textFill>
            <w14:solidFill>
              <w14:schemeClr w14:val="tx1"/>
            </w14:solidFill>
          </w14:textFill>
        </w:rPr>
        <w:t>3人</w:t>
      </w:r>
      <w:r>
        <w:rPr>
          <w:rFonts w:ascii="宋体"/>
          <w:color w:val="000000" w:themeColor="text1"/>
          <w14:textFill>
            <w14:solidFill>
              <w14:schemeClr w14:val="tx1"/>
            </w14:solidFill>
          </w14:textFill>
        </w:rPr>
        <w:t>，</w:t>
      </w:r>
      <w:r>
        <w:rPr>
          <w:rFonts w:hint="eastAsia" w:ascii="宋体"/>
          <w:color w:val="000000" w:themeColor="text1"/>
          <w14:textFill>
            <w14:solidFill>
              <w14:schemeClr w14:val="tx1"/>
            </w14:solidFill>
          </w14:textFill>
        </w:rPr>
        <w:t>其中</w:t>
      </w:r>
      <w:r>
        <w:rPr>
          <w:rFonts w:ascii="宋体"/>
          <w:color w:val="000000" w:themeColor="text1"/>
          <w14:textFill>
            <w14:solidFill>
              <w14:schemeClr w14:val="tx1"/>
            </w14:solidFill>
          </w14:textFill>
        </w:rPr>
        <w:t>主要负责人</w:t>
      </w:r>
      <w:r>
        <w:rPr>
          <w:rFonts w:hint="eastAsia" w:ascii="宋体"/>
          <w:color w:val="000000" w:themeColor="text1"/>
          <w14:textFill>
            <w14:solidFill>
              <w14:schemeClr w14:val="tx1"/>
            </w14:solidFill>
          </w14:textFill>
        </w:rPr>
        <w:t>1</w:t>
      </w:r>
      <w:r>
        <w:rPr>
          <w:rFonts w:ascii="宋体"/>
          <w:color w:val="000000" w:themeColor="text1"/>
          <w14:textFill>
            <w14:solidFill>
              <w14:schemeClr w14:val="tx1"/>
            </w14:solidFill>
          </w14:textFill>
        </w:rPr>
        <w:t>人，安全生产管理人员</w:t>
      </w:r>
      <w:r>
        <w:rPr>
          <w:rFonts w:hint="eastAsia" w:ascii="宋体"/>
          <w:color w:val="000000" w:themeColor="text1"/>
          <w14:textFill>
            <w14:solidFill>
              <w14:schemeClr w14:val="tx1"/>
            </w14:solidFill>
          </w14:textFill>
        </w:rPr>
        <w:t>1人。主要负责人和</w:t>
      </w:r>
      <w:r>
        <w:rPr>
          <w:rFonts w:ascii="宋体"/>
          <w:color w:val="000000" w:themeColor="text1"/>
          <w14:textFill>
            <w14:solidFill>
              <w14:schemeClr w14:val="tx1"/>
            </w14:solidFill>
          </w14:textFill>
        </w:rPr>
        <w:t>安全生产管理人员已</w:t>
      </w:r>
      <w:r>
        <w:rPr>
          <w:rFonts w:hint="eastAsia" w:ascii="宋体"/>
          <w:color w:val="000000" w:themeColor="text1"/>
          <w14:textFill>
            <w14:solidFill>
              <w14:schemeClr w14:val="tx1"/>
            </w14:solidFill>
          </w14:textFill>
        </w:rPr>
        <w:t>参加了</w:t>
      </w:r>
      <w:r>
        <w:rPr>
          <w:rFonts w:ascii="宋体"/>
          <w:color w:val="000000" w:themeColor="text1"/>
          <w14:textFill>
            <w14:solidFill>
              <w14:schemeClr w14:val="tx1"/>
            </w14:solidFill>
          </w14:textFill>
        </w:rPr>
        <w:t>危险化学品安全管理培训，</w:t>
      </w:r>
      <w:r>
        <w:rPr>
          <w:rFonts w:hint="eastAsia" w:ascii="宋体"/>
          <w:color w:val="000000" w:themeColor="text1"/>
          <w14:textFill>
            <w14:solidFill>
              <w14:schemeClr w14:val="tx1"/>
            </w14:solidFill>
          </w14:textFill>
        </w:rPr>
        <w:t>并取得考核合格证，</w:t>
      </w:r>
      <w:r>
        <w:rPr>
          <w:rFonts w:ascii="宋体"/>
          <w:color w:val="000000" w:themeColor="text1"/>
          <w14:textFill>
            <w14:solidFill>
              <w14:schemeClr w14:val="tx1"/>
            </w14:solidFill>
          </w14:textFill>
        </w:rPr>
        <w:t>详见附件。</w:t>
      </w:r>
    </w:p>
    <w:p w14:paraId="51C56CBC">
      <w:pPr>
        <w:adjustRightInd w:val="0"/>
        <w:snapToGrid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color w:val="000000" w:themeColor="text1"/>
          <w:kern w:val="0"/>
          <w:sz w:val="28"/>
          <w:szCs w:val="20"/>
          <w14:textFill>
            <w14:solidFill>
              <w14:schemeClr w14:val="tx1"/>
            </w14:solidFill>
          </w14:textFill>
        </w:rPr>
        <w:t>加油站于2006年12月29日取得了宁阳县公安消防大队出具的</w:t>
      </w:r>
      <w:r>
        <w:rPr>
          <w:rFonts w:hint="eastAsia" w:ascii="宋体" w:hAnsi="宋体"/>
          <w:color w:val="000000" w:themeColor="text1"/>
          <w:sz w:val="28"/>
          <w:szCs w:val="28"/>
          <w14:textFill>
            <w14:solidFill>
              <w14:schemeClr w14:val="tx1"/>
            </w14:solidFill>
          </w14:textFill>
        </w:rPr>
        <w:t>《建筑工程消防验收意见书》，编号：宁公消验字[2006]第37号，详见附件。</w:t>
      </w:r>
    </w:p>
    <w:p w14:paraId="1DE93E64">
      <w:pPr>
        <w:adjustRightInd w:val="0"/>
        <w:snapToGrid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公司于2012年12月07日取得了《国有土地使用证》，编号为宁国用（2012）第232号。详见附件。</w:t>
      </w:r>
    </w:p>
    <w:p w14:paraId="180B50DB">
      <w:pPr>
        <w:adjustRightInd w:val="0"/>
        <w:snapToGrid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加油站于2022年01月12日换发了《危险化学品经营许可证》，证书编号：鲁泰危化经[2022]000088号，证书有效期至2025年01月16日，证书见附件。</w:t>
      </w:r>
    </w:p>
    <w:p w14:paraId="0529A2D3">
      <w:pPr>
        <w:adjustRightInd w:val="0"/>
        <w:snapToGrid w:val="0"/>
        <w:spacing w:line="360" w:lineRule="auto"/>
        <w:ind w:firstLine="560" w:firstLineChars="200"/>
        <w:rPr>
          <w:rFonts w:hint="eastAsia" w:ascii="宋体" w:hAnsi="宋体"/>
          <w:color w:val="000000" w:themeColor="text1"/>
          <w:sz w:val="28"/>
          <w:szCs w:val="28"/>
          <w14:textFill>
            <w14:solidFill>
              <w14:schemeClr w14:val="tx1"/>
            </w14:solidFill>
          </w14:textFill>
        </w:rPr>
      </w:pPr>
      <w:bookmarkStart w:id="14" w:name="_Hlk508440011"/>
      <w:r>
        <w:rPr>
          <w:rFonts w:hint="eastAsia" w:ascii="宋体" w:hAnsi="宋体"/>
          <w:color w:val="000000" w:themeColor="text1"/>
          <w:sz w:val="28"/>
          <w:szCs w:val="28"/>
          <w14:textFill>
            <w14:solidFill>
              <w14:schemeClr w14:val="tx1"/>
            </w14:solidFill>
          </w14:textFill>
        </w:rPr>
        <w:t>加油站于2021年06月22日换发了《成品油零售经营批准证书》，证书编号：鲁油零售证书第3709041001号，证书有效期至2026年06月22日，证书见附件。</w:t>
      </w:r>
    </w:p>
    <w:bookmarkEnd w:id="14"/>
    <w:p w14:paraId="29583426">
      <w:pPr>
        <w:adjustRightInd w:val="0"/>
        <w:snapToGrid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该站编制了生产安全事故应急预案，于2024年10月17日在泰安市应急管理局进行了备案，备案编号为：370900-2024-0004，详见附件。</w:t>
      </w:r>
    </w:p>
    <w:p w14:paraId="37D551D3">
      <w:pPr>
        <w:adjustRightInd w:val="0"/>
        <w:snapToGrid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山东天科防雷工程有限公司对该站进行了相关防雷设施的检测，出具了合格的《雷电防护装置定期检测报告》，报告编号：（1122016001）[2024]TANY-0123号，防雷类别：二类，结论为“雷电防护装置符合现行国家防雷规范标准要求”，有效期至2025年03月20日，检测报告见附件。</w:t>
      </w:r>
    </w:p>
    <w:p w14:paraId="0DB0D217">
      <w:pPr>
        <w:adjustRightInd w:val="0"/>
        <w:snapToGrid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公司在中国人民财产保险股份有限公司投保安全生产责任保险，保单号为PZIT202437010000000051，保险期限2024年06月23日至2025年06月22日，详见附件。</w:t>
      </w:r>
    </w:p>
    <w:p w14:paraId="537865F1">
      <w:pPr>
        <w:adjustRightInd w:val="0"/>
        <w:snapToGrid w:val="0"/>
        <w:spacing w:line="360" w:lineRule="auto"/>
        <w:ind w:firstLine="560" w:firstLineChars="200"/>
        <w:rPr>
          <w:rFonts w:hint="eastAsia" w:ascii="宋体" w:hAnsi="宋体"/>
          <w:color w:val="FF0000"/>
          <w:sz w:val="28"/>
          <w:szCs w:val="28"/>
        </w:rPr>
      </w:pPr>
      <w:r>
        <w:rPr>
          <w:rFonts w:hint="eastAsia" w:ascii="宋体" w:hAnsi="宋体"/>
          <w:color w:val="000000" w:themeColor="text1"/>
          <w:sz w:val="28"/>
          <w:szCs w:val="28"/>
          <w14:textFill>
            <w14:solidFill>
              <w14:schemeClr w14:val="tx1"/>
            </w14:solidFill>
          </w14:textFill>
        </w:rPr>
        <w:t>济南本安科技发展有限公司于2024年3月29日，对该站的可燃气体探测器进行了检验，测试结果为合格，详见报告。</w:t>
      </w:r>
    </w:p>
    <w:p w14:paraId="4CEBA11F">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该站建立健全了安全生产责任制、安全生产规章制度和安全操作规程，执行情况较好。</w:t>
      </w:r>
    </w:p>
    <w:p w14:paraId="0691028C">
      <w:pPr>
        <w:adjustRightInd w:val="0"/>
        <w:snapToGrid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sz w:val="28"/>
          <w:szCs w:val="28"/>
        </w:rPr>
        <w:t>该站各项安全管理制度基本健全，有生产经营单位生产事故应急预案，</w:t>
      </w:r>
      <w:r>
        <w:rPr>
          <w:rFonts w:hint="eastAsia" w:ascii="宋体" w:hAnsi="宋体"/>
          <w:color w:val="000000" w:themeColor="text1"/>
          <w:sz w:val="28"/>
          <w:szCs w:val="28"/>
          <w14:textFill>
            <w14:solidFill>
              <w14:schemeClr w14:val="tx1"/>
            </w14:solidFill>
          </w14:textFill>
        </w:rPr>
        <w:t>并定期进行应急救援演练。该加油站消防器材配备齐全，加油站配备了35kg推车式干粉灭火器1具，5kg手提式干粉灭火器8具，CO</w:t>
      </w:r>
      <w:r>
        <w:rPr>
          <w:rFonts w:hint="eastAsia" w:ascii="宋体" w:hAnsi="宋体"/>
          <w:color w:val="000000" w:themeColor="text1"/>
          <w:sz w:val="28"/>
          <w:szCs w:val="28"/>
          <w:vertAlign w:val="sub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灭火器6具，灭火毯5块，消防锨4把，消防桶2个，消防沙池2m</w:t>
      </w:r>
      <w:r>
        <w:rPr>
          <w:rFonts w:hint="eastAsia" w:ascii="宋体" w:hAnsi="宋体"/>
          <w:color w:val="000000" w:themeColor="text1"/>
          <w:sz w:val="28"/>
          <w:szCs w:val="28"/>
          <w:vertAlign w:val="superscript"/>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w:t>
      </w:r>
    </w:p>
    <w:p w14:paraId="041B780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该加油站按功能分区布置，有油罐区、加油区、站房，布置较合理。</w:t>
      </w:r>
    </w:p>
    <w:p w14:paraId="2CD741E3">
      <w:pPr>
        <w:adjustRightInd w:val="0"/>
        <w:snapToGrid w:val="0"/>
        <w:spacing w:line="360" w:lineRule="auto"/>
        <w:ind w:firstLine="560" w:firstLineChars="200"/>
        <w:rPr>
          <w:rFonts w:ascii="宋体"/>
        </w:rPr>
      </w:pPr>
      <w:r>
        <w:rPr>
          <w:rFonts w:hint="eastAsia" w:ascii="宋体" w:hAnsi="宋体"/>
          <w:sz w:val="28"/>
          <w:szCs w:val="28"/>
        </w:rPr>
        <w:t>站房地上一层（砖混），罩棚为钢架结构。该站基本情况见下表2.1-2</w:t>
      </w:r>
      <w:r>
        <w:rPr>
          <w:rFonts w:ascii="宋体"/>
        </w:rPr>
        <w:t>。</w:t>
      </w:r>
      <w:r>
        <w:rPr>
          <w:rFonts w:hint="eastAsia" w:ascii="宋体"/>
        </w:rPr>
        <w:t xml:space="preserve">                                                                                                                                                                                                                                                                                                                                                                                                                                                                                                                                                                                                                                                                                                                                                                                                                                                                                                                                                                                                                                                                                                                                                                                                                                                                                                                                                                                                                                                                                                                                                                                                                                                                                                                                                                                                                                                                                                                                                                                                                                                                                                                                                                                                                                                                                                                                                                                                                                                                                                                                                                                                                                                                                                                                                                                                                                                                                                                                                                                                                                                                                                                                                                                                                                                                                                                                                                  </w:t>
      </w:r>
    </w:p>
    <w:p w14:paraId="5907698B">
      <w:pPr>
        <w:pStyle w:val="10"/>
        <w:widowControl w:val="0"/>
        <w:outlineLvl w:val="9"/>
        <w:rPr>
          <w:rFonts w:hint="eastAsia" w:ascii="黑体" w:hAnsi="黑体"/>
        </w:rPr>
      </w:pPr>
      <w:r>
        <w:rPr>
          <w:rFonts w:ascii="黑体" w:hAnsi="黑体"/>
        </w:rPr>
        <w:t>表2.1-2 加油站基本情况表</w:t>
      </w:r>
    </w:p>
    <w:tbl>
      <w:tblPr>
        <w:tblStyle w:val="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57" w:type="dxa"/>
          <w:left w:w="108" w:type="dxa"/>
          <w:bottom w:w="57" w:type="dxa"/>
          <w:right w:w="108" w:type="dxa"/>
        </w:tblCellMar>
      </w:tblPr>
      <w:tblGrid>
        <w:gridCol w:w="1472"/>
        <w:gridCol w:w="1474"/>
        <w:gridCol w:w="990"/>
        <w:gridCol w:w="132"/>
        <w:gridCol w:w="1313"/>
        <w:gridCol w:w="188"/>
        <w:gridCol w:w="1315"/>
        <w:gridCol w:w="1143"/>
        <w:gridCol w:w="167"/>
        <w:gridCol w:w="1377"/>
      </w:tblGrid>
      <w:tr w14:paraId="274B54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vAlign w:val="center"/>
          </w:tcPr>
          <w:p w14:paraId="0C68EFA9">
            <w:pPr>
              <w:pStyle w:val="11"/>
              <w:widowControl w:val="0"/>
              <w:spacing w:line="360" w:lineRule="auto"/>
              <w:rPr>
                <w:rFonts w:hint="eastAsia" w:ascii="宋体" w:hAnsi="宋体" w:cs="宋体"/>
              </w:rPr>
            </w:pPr>
            <w:r>
              <w:rPr>
                <w:rFonts w:hint="eastAsia" w:ascii="宋体" w:hAnsi="宋体" w:cs="宋体"/>
              </w:rPr>
              <w:t>企业名称</w:t>
            </w:r>
          </w:p>
        </w:tc>
        <w:tc>
          <w:tcPr>
            <w:tcW w:w="4230" w:type="pct"/>
            <w:gridSpan w:val="9"/>
            <w:vAlign w:val="center"/>
          </w:tcPr>
          <w:p w14:paraId="30BEEB08">
            <w:pPr>
              <w:pStyle w:val="11"/>
              <w:widowControl w:val="0"/>
              <w:spacing w:line="360" w:lineRule="auto"/>
              <w:rPr>
                <w:rFonts w:hint="eastAsia" w:ascii="宋体" w:hAnsi="宋体" w:cs="宋体"/>
              </w:rPr>
            </w:pPr>
            <w:r>
              <w:rPr>
                <w:rFonts w:hint="eastAsia" w:ascii="宋体" w:hAnsi="宋体" w:cs="宋体"/>
              </w:rPr>
              <w:t>中国石化山东泰山石油股份有限公司宁阳第一加油站</w:t>
            </w:r>
          </w:p>
        </w:tc>
      </w:tr>
      <w:tr w14:paraId="370D8E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vAlign w:val="center"/>
          </w:tcPr>
          <w:p w14:paraId="0FE4F8EE">
            <w:pPr>
              <w:pStyle w:val="11"/>
              <w:widowControl w:val="0"/>
              <w:spacing w:line="360" w:lineRule="auto"/>
              <w:rPr>
                <w:rFonts w:hint="eastAsia" w:ascii="宋体" w:hAnsi="宋体" w:cs="宋体"/>
              </w:rPr>
            </w:pPr>
            <w:r>
              <w:rPr>
                <w:rFonts w:hint="eastAsia" w:ascii="宋体" w:hAnsi="宋体" w:cs="宋体"/>
              </w:rPr>
              <w:t>注册地址</w:t>
            </w:r>
          </w:p>
        </w:tc>
        <w:tc>
          <w:tcPr>
            <w:tcW w:w="4230" w:type="pct"/>
            <w:gridSpan w:val="9"/>
            <w:vAlign w:val="center"/>
          </w:tcPr>
          <w:p w14:paraId="5E2E7363">
            <w:pPr>
              <w:pStyle w:val="11"/>
              <w:widowControl w:val="0"/>
              <w:spacing w:line="360" w:lineRule="auto"/>
              <w:rPr>
                <w:rFonts w:hint="eastAsia" w:ascii="宋体" w:hAnsi="宋体" w:cs="宋体"/>
              </w:rPr>
            </w:pPr>
            <w:r>
              <w:rPr>
                <w:rFonts w:hint="eastAsia" w:ascii="宋体" w:hAnsi="宋体" w:cs="宋体"/>
              </w:rPr>
              <w:t>宁阳县城北关路227号</w:t>
            </w:r>
          </w:p>
        </w:tc>
      </w:tr>
      <w:tr w14:paraId="342B3B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vAlign w:val="center"/>
          </w:tcPr>
          <w:p w14:paraId="1E174608">
            <w:pPr>
              <w:pStyle w:val="11"/>
              <w:widowControl w:val="0"/>
              <w:spacing w:line="360" w:lineRule="auto"/>
              <w:rPr>
                <w:rFonts w:hint="eastAsia" w:ascii="宋体" w:hAnsi="宋体" w:cs="宋体"/>
              </w:rPr>
            </w:pPr>
            <w:r>
              <w:rPr>
                <w:rFonts w:hint="eastAsia" w:ascii="宋体" w:hAnsi="宋体" w:cs="宋体"/>
              </w:rPr>
              <w:t>电话</w:t>
            </w:r>
          </w:p>
        </w:tc>
        <w:tc>
          <w:tcPr>
            <w:tcW w:w="1287" w:type="pct"/>
            <w:gridSpan w:val="2"/>
            <w:vAlign w:val="center"/>
          </w:tcPr>
          <w:p w14:paraId="7DE66264">
            <w:pPr>
              <w:pStyle w:val="11"/>
              <w:widowControl w:val="0"/>
              <w:spacing w:line="360" w:lineRule="auto"/>
              <w:rPr>
                <w:rFonts w:hint="eastAsia" w:ascii="宋体" w:hAnsi="宋体" w:cs="宋体"/>
              </w:rPr>
            </w:pPr>
            <w:r>
              <w:rPr>
                <w:rFonts w:hint="eastAsia" w:ascii="宋体" w:hAnsi="宋体" w:cs="宋体"/>
              </w:rPr>
              <w:t>15053837277</w:t>
            </w:r>
          </w:p>
        </w:tc>
        <w:tc>
          <w:tcPr>
            <w:tcW w:w="853" w:type="pct"/>
            <w:gridSpan w:val="3"/>
            <w:vAlign w:val="center"/>
          </w:tcPr>
          <w:p w14:paraId="0A598D18">
            <w:pPr>
              <w:pStyle w:val="11"/>
              <w:widowControl w:val="0"/>
              <w:spacing w:line="360" w:lineRule="auto"/>
              <w:rPr>
                <w:rFonts w:hint="eastAsia" w:ascii="宋体" w:hAnsi="宋体" w:cs="宋体"/>
              </w:rPr>
            </w:pPr>
            <w:r>
              <w:rPr>
                <w:rFonts w:hint="eastAsia" w:ascii="宋体" w:hAnsi="宋体" w:cs="宋体"/>
              </w:rPr>
              <w:t>传 真</w:t>
            </w:r>
          </w:p>
        </w:tc>
        <w:tc>
          <w:tcPr>
            <w:tcW w:w="687" w:type="pct"/>
            <w:vAlign w:val="center"/>
          </w:tcPr>
          <w:p w14:paraId="28868173">
            <w:pPr>
              <w:pStyle w:val="11"/>
              <w:widowControl w:val="0"/>
              <w:spacing w:line="360" w:lineRule="auto"/>
              <w:rPr>
                <w:rFonts w:hint="eastAsia" w:ascii="宋体" w:hAnsi="宋体" w:cs="宋体"/>
              </w:rPr>
            </w:pPr>
            <w:r>
              <w:rPr>
                <w:rFonts w:hint="eastAsia" w:ascii="宋体" w:hAnsi="宋体" w:cs="宋体"/>
              </w:rPr>
              <w:t>—</w:t>
            </w:r>
          </w:p>
        </w:tc>
        <w:tc>
          <w:tcPr>
            <w:tcW w:w="597" w:type="pct"/>
            <w:vAlign w:val="center"/>
          </w:tcPr>
          <w:p w14:paraId="4B20E74D">
            <w:pPr>
              <w:pStyle w:val="11"/>
              <w:widowControl w:val="0"/>
              <w:spacing w:line="360" w:lineRule="auto"/>
              <w:rPr>
                <w:rFonts w:hint="eastAsia" w:ascii="宋体" w:hAnsi="宋体" w:cs="宋体"/>
              </w:rPr>
            </w:pPr>
            <w:r>
              <w:rPr>
                <w:rFonts w:hint="eastAsia" w:ascii="宋体" w:hAnsi="宋体" w:cs="宋体"/>
              </w:rPr>
              <w:t>邮政编码</w:t>
            </w:r>
          </w:p>
        </w:tc>
        <w:tc>
          <w:tcPr>
            <w:tcW w:w="806" w:type="pct"/>
            <w:gridSpan w:val="2"/>
            <w:vAlign w:val="center"/>
          </w:tcPr>
          <w:p w14:paraId="48565C99">
            <w:pPr>
              <w:pStyle w:val="11"/>
              <w:widowControl w:val="0"/>
              <w:spacing w:line="360" w:lineRule="auto"/>
              <w:rPr>
                <w:rFonts w:hint="eastAsia" w:ascii="宋体" w:hAnsi="宋体" w:cs="宋体"/>
              </w:rPr>
            </w:pPr>
            <w:r>
              <w:rPr>
                <w:rFonts w:hint="eastAsia" w:ascii="宋体" w:hAnsi="宋体" w:cs="宋体"/>
              </w:rPr>
              <w:t>271400</w:t>
            </w:r>
          </w:p>
        </w:tc>
      </w:tr>
      <w:tr w14:paraId="6E1B22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vAlign w:val="center"/>
          </w:tcPr>
          <w:p w14:paraId="79941A11">
            <w:pPr>
              <w:pStyle w:val="11"/>
              <w:widowControl w:val="0"/>
              <w:spacing w:line="360" w:lineRule="auto"/>
              <w:rPr>
                <w:rFonts w:hint="eastAsia" w:ascii="宋体" w:hAnsi="宋体" w:cs="宋体"/>
              </w:rPr>
            </w:pPr>
            <w:r>
              <w:rPr>
                <w:rFonts w:hint="eastAsia" w:ascii="宋体" w:hAnsi="宋体" w:cs="宋体"/>
              </w:rPr>
              <w:t>经营产品</w:t>
            </w:r>
          </w:p>
        </w:tc>
        <w:tc>
          <w:tcPr>
            <w:tcW w:w="4230" w:type="pct"/>
            <w:gridSpan w:val="9"/>
            <w:vAlign w:val="center"/>
          </w:tcPr>
          <w:p w14:paraId="41B8EAF9">
            <w:pPr>
              <w:pStyle w:val="11"/>
              <w:widowControl w:val="0"/>
              <w:spacing w:line="360" w:lineRule="auto"/>
              <w:rPr>
                <w:rFonts w:hint="eastAsia" w:ascii="宋体" w:hAnsi="宋体" w:cs="宋体"/>
              </w:rPr>
            </w:pPr>
            <w:r>
              <w:rPr>
                <w:rFonts w:hint="eastAsia" w:ascii="宋体" w:hAnsi="宋体" w:cs="宋体"/>
              </w:rPr>
              <w:t>汽油、乙醇汽油、柴油</w:t>
            </w:r>
          </w:p>
        </w:tc>
      </w:tr>
      <w:tr w14:paraId="16A0DE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vAlign w:val="center"/>
          </w:tcPr>
          <w:p w14:paraId="2203C25B">
            <w:pPr>
              <w:pStyle w:val="11"/>
              <w:widowControl w:val="0"/>
              <w:spacing w:line="360" w:lineRule="auto"/>
              <w:rPr>
                <w:rFonts w:hint="eastAsia" w:ascii="宋体" w:hAnsi="宋体" w:cs="宋体"/>
              </w:rPr>
            </w:pPr>
            <w:r>
              <w:rPr>
                <w:rFonts w:hint="eastAsia" w:ascii="宋体" w:hAnsi="宋体" w:cs="宋体"/>
              </w:rPr>
              <w:t>登记机关</w:t>
            </w:r>
          </w:p>
        </w:tc>
        <w:tc>
          <w:tcPr>
            <w:tcW w:w="4230" w:type="pct"/>
            <w:gridSpan w:val="9"/>
            <w:vAlign w:val="center"/>
          </w:tcPr>
          <w:p w14:paraId="0543D722">
            <w:pPr>
              <w:pStyle w:val="11"/>
              <w:widowControl w:val="0"/>
              <w:spacing w:line="360" w:lineRule="auto"/>
              <w:rPr>
                <w:rFonts w:hint="eastAsia" w:ascii="宋体" w:hAnsi="宋体" w:cs="宋体"/>
              </w:rPr>
            </w:pPr>
            <w:r>
              <w:rPr>
                <w:rFonts w:hint="eastAsia" w:ascii="宋体" w:hAnsi="宋体" w:cs="宋体"/>
              </w:rPr>
              <w:t>宁阳市行政审批服务局</w:t>
            </w:r>
          </w:p>
        </w:tc>
      </w:tr>
      <w:tr w14:paraId="1B30C3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vAlign w:val="center"/>
          </w:tcPr>
          <w:p w14:paraId="3473D3D2">
            <w:pPr>
              <w:pStyle w:val="11"/>
              <w:widowControl w:val="0"/>
              <w:spacing w:line="360" w:lineRule="auto"/>
              <w:rPr>
                <w:rFonts w:hint="eastAsia" w:ascii="宋体" w:hAnsi="宋体" w:cs="宋体"/>
              </w:rPr>
            </w:pPr>
            <w:r>
              <w:rPr>
                <w:rFonts w:hint="eastAsia" w:ascii="宋体" w:hAnsi="宋体" w:cs="宋体"/>
              </w:rPr>
              <w:t>法定代表人</w:t>
            </w:r>
          </w:p>
        </w:tc>
        <w:tc>
          <w:tcPr>
            <w:tcW w:w="2042" w:type="pct"/>
            <w:gridSpan w:val="4"/>
            <w:vAlign w:val="center"/>
          </w:tcPr>
          <w:p w14:paraId="5A91E81E">
            <w:pPr>
              <w:pStyle w:val="11"/>
              <w:widowControl w:val="0"/>
              <w:spacing w:line="360" w:lineRule="auto"/>
              <w:rPr>
                <w:rFonts w:hint="eastAsia" w:ascii="宋体" w:hAnsi="宋体" w:cs="宋体"/>
              </w:rPr>
            </w:pPr>
            <w:r>
              <w:rPr>
                <w:rFonts w:hint="eastAsia" w:ascii="宋体" w:hAnsi="宋体" w:cs="宋体"/>
                <w:color w:val="000000" w:themeColor="text1"/>
                <w14:textFill>
                  <w14:solidFill>
                    <w14:schemeClr w14:val="tx1"/>
                  </w14:solidFill>
                </w14:textFill>
              </w:rPr>
              <w:t>王明昌</w:t>
            </w:r>
          </w:p>
        </w:tc>
        <w:tc>
          <w:tcPr>
            <w:tcW w:w="785" w:type="pct"/>
            <w:gridSpan w:val="2"/>
            <w:vAlign w:val="center"/>
          </w:tcPr>
          <w:p w14:paraId="2A82B605">
            <w:pPr>
              <w:pStyle w:val="11"/>
              <w:widowControl w:val="0"/>
              <w:spacing w:line="360" w:lineRule="auto"/>
              <w:rPr>
                <w:rFonts w:hint="eastAsia" w:ascii="宋体" w:hAnsi="宋体" w:cs="宋体"/>
              </w:rPr>
            </w:pPr>
            <w:r>
              <w:rPr>
                <w:rFonts w:hint="eastAsia" w:ascii="宋体" w:hAnsi="宋体" w:cs="宋体"/>
              </w:rPr>
              <w:t>站长</w:t>
            </w:r>
          </w:p>
        </w:tc>
        <w:tc>
          <w:tcPr>
            <w:tcW w:w="1403" w:type="pct"/>
            <w:gridSpan w:val="3"/>
            <w:vAlign w:val="center"/>
          </w:tcPr>
          <w:p w14:paraId="738D9F9A">
            <w:pPr>
              <w:pStyle w:val="11"/>
              <w:widowControl w:val="0"/>
              <w:spacing w:line="360" w:lineRule="auto"/>
              <w:rPr>
                <w:rFonts w:hint="eastAsia" w:ascii="宋体" w:hAnsi="宋体" w:cs="宋体"/>
              </w:rPr>
            </w:pPr>
            <w:r>
              <w:rPr>
                <w:rFonts w:hint="eastAsia" w:ascii="宋体" w:hAnsi="宋体" w:cs="宋体"/>
                <w:lang w:val="en-US" w:eastAsia="zh-CN"/>
              </w:rPr>
              <w:t>桑</w:t>
            </w:r>
            <w:r>
              <w:rPr>
                <w:rFonts w:hint="eastAsia" w:ascii="宋体" w:hAnsi="宋体" w:cs="宋体"/>
              </w:rPr>
              <w:t>文晶</w:t>
            </w:r>
          </w:p>
        </w:tc>
      </w:tr>
      <w:tr w14:paraId="506DF0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vAlign w:val="center"/>
          </w:tcPr>
          <w:p w14:paraId="38BE00F4">
            <w:pPr>
              <w:pStyle w:val="11"/>
              <w:widowControl w:val="0"/>
              <w:spacing w:line="360" w:lineRule="auto"/>
              <w:rPr>
                <w:rFonts w:hint="eastAsia" w:ascii="宋体" w:hAnsi="宋体" w:cs="宋体"/>
              </w:rPr>
            </w:pPr>
            <w:r>
              <w:rPr>
                <w:rFonts w:hint="eastAsia" w:ascii="宋体" w:hAnsi="宋体" w:cs="宋体"/>
              </w:rPr>
              <w:t>职工人数</w:t>
            </w:r>
          </w:p>
        </w:tc>
        <w:tc>
          <w:tcPr>
            <w:tcW w:w="770" w:type="pct"/>
            <w:vAlign w:val="center"/>
          </w:tcPr>
          <w:p w14:paraId="6C3760A9">
            <w:pPr>
              <w:pStyle w:val="11"/>
              <w:widowControl w:val="0"/>
              <w:spacing w:line="360" w:lineRule="auto"/>
              <w:rPr>
                <w:rFonts w:hint="eastAsia" w:ascii="宋体" w:hAnsi="宋体" w:cs="宋体"/>
              </w:rPr>
            </w:pPr>
            <w:r>
              <w:rPr>
                <w:rFonts w:hint="eastAsia" w:ascii="宋体" w:hAnsi="宋体" w:cs="宋体"/>
                <w:color w:val="000000" w:themeColor="text1"/>
                <w14:textFill>
                  <w14:solidFill>
                    <w14:schemeClr w14:val="tx1"/>
                  </w14:solidFill>
                </w14:textFill>
              </w:rPr>
              <w:t>3</w:t>
            </w:r>
          </w:p>
        </w:tc>
        <w:tc>
          <w:tcPr>
            <w:tcW w:w="1272" w:type="pct"/>
            <w:gridSpan w:val="3"/>
            <w:vAlign w:val="center"/>
          </w:tcPr>
          <w:p w14:paraId="2384334D">
            <w:pPr>
              <w:pStyle w:val="11"/>
              <w:widowControl w:val="0"/>
              <w:spacing w:line="360" w:lineRule="auto"/>
              <w:rPr>
                <w:rFonts w:hint="eastAsia" w:ascii="宋体" w:hAnsi="宋体" w:cs="宋体"/>
              </w:rPr>
            </w:pPr>
            <w:r>
              <w:rPr>
                <w:rFonts w:hint="eastAsia" w:ascii="宋体" w:hAnsi="宋体" w:cs="宋体"/>
              </w:rPr>
              <w:t>站长</w:t>
            </w:r>
          </w:p>
        </w:tc>
        <w:tc>
          <w:tcPr>
            <w:tcW w:w="785" w:type="pct"/>
            <w:gridSpan w:val="2"/>
            <w:vAlign w:val="center"/>
          </w:tcPr>
          <w:p w14:paraId="21B0C6D9">
            <w:pPr>
              <w:pStyle w:val="11"/>
              <w:widowControl w:val="0"/>
              <w:spacing w:line="360" w:lineRule="auto"/>
              <w:rPr>
                <w:rFonts w:hint="eastAsia" w:ascii="宋体" w:hAnsi="宋体" w:cs="宋体"/>
              </w:rPr>
            </w:pPr>
            <w:r>
              <w:rPr>
                <w:rFonts w:hint="eastAsia" w:ascii="宋体" w:hAnsi="宋体" w:cs="宋体"/>
              </w:rPr>
              <w:t>1</w:t>
            </w:r>
          </w:p>
        </w:tc>
        <w:tc>
          <w:tcPr>
            <w:tcW w:w="597" w:type="pct"/>
            <w:vAlign w:val="center"/>
          </w:tcPr>
          <w:p w14:paraId="15C93D50">
            <w:pPr>
              <w:pStyle w:val="11"/>
              <w:widowControl w:val="0"/>
              <w:spacing w:line="360" w:lineRule="auto"/>
              <w:rPr>
                <w:rFonts w:hint="eastAsia" w:ascii="宋体" w:hAnsi="宋体" w:cs="宋体"/>
              </w:rPr>
            </w:pPr>
            <w:r>
              <w:rPr>
                <w:rFonts w:hint="eastAsia" w:ascii="宋体" w:hAnsi="宋体" w:cs="宋体"/>
              </w:rPr>
              <w:t>安全员</w:t>
            </w:r>
          </w:p>
        </w:tc>
        <w:tc>
          <w:tcPr>
            <w:tcW w:w="806" w:type="pct"/>
            <w:gridSpan w:val="2"/>
            <w:vAlign w:val="center"/>
          </w:tcPr>
          <w:p w14:paraId="6441EEAB">
            <w:pPr>
              <w:pStyle w:val="11"/>
              <w:widowControl w:val="0"/>
              <w:spacing w:line="360" w:lineRule="auto"/>
              <w:rPr>
                <w:rFonts w:hint="eastAsia" w:ascii="宋体" w:hAnsi="宋体" w:cs="宋体"/>
              </w:rPr>
            </w:pPr>
            <w:r>
              <w:rPr>
                <w:rFonts w:hint="eastAsia" w:ascii="宋体" w:hAnsi="宋体" w:cs="宋体"/>
              </w:rPr>
              <w:t>1</w:t>
            </w:r>
          </w:p>
        </w:tc>
      </w:tr>
      <w:tr w14:paraId="308565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restart"/>
            <w:vAlign w:val="center"/>
          </w:tcPr>
          <w:p w14:paraId="24A9E165">
            <w:pPr>
              <w:pStyle w:val="11"/>
              <w:widowControl w:val="0"/>
              <w:spacing w:line="360" w:lineRule="auto"/>
              <w:rPr>
                <w:rFonts w:hint="eastAsia" w:ascii="宋体" w:hAnsi="宋体" w:cs="宋体"/>
                <w:bCs/>
              </w:rPr>
            </w:pPr>
            <w:r>
              <w:rPr>
                <w:rFonts w:hint="eastAsia" w:ascii="宋体" w:hAnsi="宋体" w:cs="宋体"/>
                <w:bCs/>
              </w:rPr>
              <w:t>经营场所</w:t>
            </w:r>
          </w:p>
        </w:tc>
        <w:tc>
          <w:tcPr>
            <w:tcW w:w="770" w:type="pct"/>
            <w:vAlign w:val="center"/>
          </w:tcPr>
          <w:p w14:paraId="2438A47A">
            <w:pPr>
              <w:pStyle w:val="11"/>
              <w:widowControl w:val="0"/>
              <w:spacing w:line="360" w:lineRule="auto"/>
              <w:rPr>
                <w:rFonts w:hint="eastAsia" w:ascii="宋体" w:hAnsi="宋体" w:cs="宋体"/>
                <w:bCs/>
              </w:rPr>
            </w:pPr>
            <w:r>
              <w:rPr>
                <w:rFonts w:hint="eastAsia" w:ascii="宋体" w:hAnsi="宋体" w:cs="宋体"/>
                <w:bCs/>
              </w:rPr>
              <w:t>产  权</w:t>
            </w:r>
          </w:p>
        </w:tc>
        <w:tc>
          <w:tcPr>
            <w:tcW w:w="3460" w:type="pct"/>
            <w:gridSpan w:val="8"/>
            <w:vAlign w:val="center"/>
          </w:tcPr>
          <w:p w14:paraId="2C0AAC6C">
            <w:pPr>
              <w:pStyle w:val="11"/>
              <w:widowControl w:val="0"/>
              <w:spacing w:line="360" w:lineRule="auto"/>
              <w:rPr>
                <w:rFonts w:hint="eastAsia" w:ascii="宋体" w:hAnsi="宋体" w:cs="宋体"/>
                <w:bCs/>
              </w:rPr>
            </w:pPr>
            <w:r>
              <w:rPr>
                <w:rFonts w:hint="eastAsia" w:ascii="宋体" w:hAnsi="宋体" w:cs="宋体"/>
                <w:bCs/>
                <w:color w:val="000000" w:themeColor="text1"/>
                <w14:textFill>
                  <w14:solidFill>
                    <w14:schemeClr w14:val="tx1"/>
                  </w14:solidFill>
                </w14:textFill>
              </w:rPr>
              <w:t>自有☑租赁</w:t>
            </w:r>
            <w:r>
              <w:rPr>
                <w:rFonts w:hint="eastAsia" w:ascii="Segoe UI Symbol" w:hAnsi="Segoe UI Symbol" w:cs="Segoe UI Symbol"/>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承包□</w:t>
            </w:r>
          </w:p>
        </w:tc>
      </w:tr>
      <w:tr w14:paraId="700A80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vAlign w:val="center"/>
          </w:tcPr>
          <w:p w14:paraId="088F1248">
            <w:pPr>
              <w:pStyle w:val="11"/>
              <w:widowControl w:val="0"/>
              <w:spacing w:line="360" w:lineRule="auto"/>
              <w:rPr>
                <w:rFonts w:hint="eastAsia" w:ascii="宋体" w:hAnsi="宋体" w:cs="宋体"/>
                <w:bCs/>
              </w:rPr>
            </w:pPr>
          </w:p>
        </w:tc>
        <w:tc>
          <w:tcPr>
            <w:tcW w:w="770" w:type="pct"/>
            <w:vAlign w:val="center"/>
          </w:tcPr>
          <w:p w14:paraId="73BD180A">
            <w:pPr>
              <w:pStyle w:val="11"/>
              <w:widowControl w:val="0"/>
              <w:spacing w:line="360" w:lineRule="auto"/>
              <w:rPr>
                <w:rFonts w:hint="eastAsia" w:ascii="宋体" w:hAnsi="宋体" w:cs="宋体"/>
                <w:bCs/>
              </w:rPr>
            </w:pPr>
            <w:r>
              <w:rPr>
                <w:rFonts w:hint="eastAsia" w:ascii="宋体" w:hAnsi="宋体" w:cs="宋体"/>
                <w:bCs/>
              </w:rPr>
              <w:t>站房面积</w:t>
            </w:r>
          </w:p>
        </w:tc>
        <w:tc>
          <w:tcPr>
            <w:tcW w:w="586" w:type="pct"/>
            <w:gridSpan w:val="2"/>
            <w:vAlign w:val="center"/>
          </w:tcPr>
          <w:p w14:paraId="38502734">
            <w:pPr>
              <w:pStyle w:val="11"/>
              <w:widowControl w:val="0"/>
              <w:spacing w:line="360" w:lineRule="auto"/>
              <w:rPr>
                <w:rFonts w:hint="eastAsia" w:ascii="宋体" w:hAnsi="宋体" w:cs="宋体"/>
              </w:rPr>
            </w:pPr>
            <w:r>
              <w:rPr>
                <w:rFonts w:hint="eastAsia" w:ascii="宋体" w:hAnsi="宋体" w:cs="宋体"/>
                <w:bCs/>
              </w:rPr>
              <w:t>30.1m</w:t>
            </w:r>
            <w:r>
              <w:rPr>
                <w:rFonts w:hint="eastAsia" w:ascii="宋体" w:hAnsi="宋体" w:cs="宋体"/>
                <w:bCs/>
                <w:vertAlign w:val="superscript"/>
              </w:rPr>
              <w:t>2</w:t>
            </w:r>
          </w:p>
        </w:tc>
        <w:tc>
          <w:tcPr>
            <w:tcW w:w="685" w:type="pct"/>
            <w:vAlign w:val="center"/>
          </w:tcPr>
          <w:p w14:paraId="75FCBB32">
            <w:pPr>
              <w:pStyle w:val="11"/>
              <w:widowControl w:val="0"/>
              <w:spacing w:line="360" w:lineRule="auto"/>
              <w:rPr>
                <w:rFonts w:hint="eastAsia" w:ascii="宋体" w:hAnsi="宋体" w:cs="宋体"/>
              </w:rPr>
            </w:pPr>
            <w:r>
              <w:rPr>
                <w:rFonts w:hint="eastAsia" w:ascii="宋体" w:hAnsi="宋体" w:cs="宋体"/>
              </w:rPr>
              <w:t>罩棚面积</w:t>
            </w:r>
          </w:p>
        </w:tc>
        <w:tc>
          <w:tcPr>
            <w:tcW w:w="785" w:type="pct"/>
            <w:gridSpan w:val="2"/>
            <w:vAlign w:val="center"/>
          </w:tcPr>
          <w:p w14:paraId="7BA66E0A">
            <w:pPr>
              <w:pStyle w:val="11"/>
              <w:widowControl w:val="0"/>
              <w:spacing w:line="360" w:lineRule="auto"/>
              <w:rPr>
                <w:rFonts w:hint="eastAsia" w:ascii="宋体" w:hAnsi="宋体" w:cs="宋体"/>
              </w:rPr>
            </w:pPr>
            <w:r>
              <w:rPr>
                <w:rFonts w:hint="eastAsia" w:ascii="宋体" w:hAnsi="宋体" w:cs="宋体"/>
                <w:bCs/>
              </w:rPr>
              <w:t>288m</w:t>
            </w:r>
            <w:r>
              <w:rPr>
                <w:rFonts w:hint="eastAsia" w:ascii="宋体" w:hAnsi="宋体" w:cs="宋体"/>
                <w:bCs/>
                <w:vertAlign w:val="superscript"/>
              </w:rPr>
              <w:t>2</w:t>
            </w:r>
          </w:p>
        </w:tc>
        <w:tc>
          <w:tcPr>
            <w:tcW w:w="597" w:type="pct"/>
            <w:vAlign w:val="center"/>
          </w:tcPr>
          <w:p w14:paraId="3AD85FA8">
            <w:pPr>
              <w:pStyle w:val="11"/>
              <w:widowControl w:val="0"/>
              <w:spacing w:line="360" w:lineRule="auto"/>
              <w:rPr>
                <w:rFonts w:hint="eastAsia" w:ascii="宋体" w:hAnsi="宋体" w:cs="宋体"/>
              </w:rPr>
            </w:pPr>
            <w:r>
              <w:rPr>
                <w:rFonts w:hint="eastAsia" w:ascii="宋体" w:hAnsi="宋体" w:cs="宋体"/>
              </w:rPr>
              <w:t>罩棚高度</w:t>
            </w:r>
          </w:p>
        </w:tc>
        <w:tc>
          <w:tcPr>
            <w:tcW w:w="806" w:type="pct"/>
            <w:gridSpan w:val="2"/>
            <w:vAlign w:val="center"/>
          </w:tcPr>
          <w:p w14:paraId="19DA8AC6">
            <w:pPr>
              <w:pStyle w:val="11"/>
              <w:widowControl w:val="0"/>
              <w:spacing w:line="360" w:lineRule="auto"/>
              <w:rPr>
                <w:rFonts w:hint="eastAsia" w:ascii="宋体" w:hAnsi="宋体" w:cs="宋体"/>
              </w:rPr>
            </w:pPr>
            <w:r>
              <w:rPr>
                <w:rFonts w:hint="eastAsia" w:ascii="宋体" w:hAnsi="宋体" w:cs="宋体"/>
                <w:color w:val="000000" w:themeColor="text1"/>
                <w14:textFill>
                  <w14:solidFill>
                    <w14:schemeClr w14:val="tx1"/>
                  </w14:solidFill>
                </w14:textFill>
              </w:rPr>
              <w:t>6.8m</w:t>
            </w:r>
          </w:p>
        </w:tc>
      </w:tr>
      <w:tr w14:paraId="1B4640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restart"/>
            <w:vAlign w:val="center"/>
          </w:tcPr>
          <w:p w14:paraId="5DE266A6">
            <w:pPr>
              <w:pStyle w:val="11"/>
              <w:widowControl w:val="0"/>
              <w:spacing w:line="360" w:lineRule="auto"/>
              <w:rPr>
                <w:rFonts w:hint="eastAsia" w:ascii="宋体" w:hAnsi="宋体" w:cs="宋体"/>
                <w:bCs/>
              </w:rPr>
            </w:pPr>
            <w:r>
              <w:rPr>
                <w:rFonts w:hint="eastAsia" w:ascii="宋体" w:hAnsi="宋体" w:cs="宋体"/>
                <w:bCs/>
              </w:rPr>
              <w:t>储存设施</w:t>
            </w:r>
          </w:p>
        </w:tc>
        <w:tc>
          <w:tcPr>
            <w:tcW w:w="770" w:type="pct"/>
            <w:vAlign w:val="center"/>
          </w:tcPr>
          <w:p w14:paraId="5188E777">
            <w:pPr>
              <w:pStyle w:val="11"/>
              <w:widowControl w:val="0"/>
              <w:spacing w:line="360" w:lineRule="auto"/>
              <w:rPr>
                <w:rFonts w:hint="eastAsia" w:ascii="宋体" w:hAnsi="宋体" w:cs="宋体"/>
                <w:bCs/>
              </w:rPr>
            </w:pPr>
            <w:r>
              <w:rPr>
                <w:rFonts w:hint="eastAsia" w:ascii="宋体" w:hAnsi="宋体" w:cs="宋体"/>
                <w:bCs/>
              </w:rPr>
              <w:t>汽油</w:t>
            </w:r>
          </w:p>
        </w:tc>
        <w:tc>
          <w:tcPr>
            <w:tcW w:w="2057" w:type="pct"/>
            <w:gridSpan w:val="5"/>
            <w:vAlign w:val="center"/>
          </w:tcPr>
          <w:p w14:paraId="0C248F0F">
            <w:pPr>
              <w:pStyle w:val="11"/>
              <w:widowControl w:val="0"/>
              <w:spacing w:line="360" w:lineRule="auto"/>
              <w:rPr>
                <w:rFonts w:hint="eastAsia" w:ascii="宋体" w:hAnsi="宋体" w:cs="宋体"/>
                <w:bCs/>
              </w:rPr>
            </w:pPr>
            <w:r>
              <w:rPr>
                <w:rFonts w:hint="eastAsia" w:ascii="宋体" w:hAnsi="宋体" w:cs="宋体"/>
                <w:bCs/>
              </w:rPr>
              <w:t>共3个汽油罐，每罐容积为</w:t>
            </w:r>
            <w:r>
              <w:rPr>
                <w:rFonts w:hint="eastAsia" w:ascii="宋体" w:hAnsi="宋体" w:cs="宋体"/>
                <w:bCs/>
                <w:u w:val="single"/>
              </w:rPr>
              <w:t xml:space="preserve"> 30 </w:t>
            </w:r>
            <w:r>
              <w:rPr>
                <w:rFonts w:hint="eastAsia" w:ascii="宋体" w:hAnsi="宋体" w:cs="宋体"/>
                <w:bCs/>
              </w:rPr>
              <w:t>m³</w:t>
            </w:r>
          </w:p>
        </w:tc>
        <w:tc>
          <w:tcPr>
            <w:tcW w:w="1403" w:type="pct"/>
            <w:gridSpan w:val="3"/>
            <w:vMerge w:val="restart"/>
            <w:vAlign w:val="center"/>
          </w:tcPr>
          <w:p w14:paraId="7190E938">
            <w:pPr>
              <w:pStyle w:val="11"/>
              <w:widowControl w:val="0"/>
              <w:snapToGrid w:val="0"/>
              <w:spacing w:line="240" w:lineRule="auto"/>
              <w:rPr>
                <w:rStyle w:val="5"/>
                <w:rFonts w:hint="eastAsia" w:ascii="宋体" w:hAnsi="宋体" w:cs="宋体"/>
                <w:color w:val="FF0000"/>
              </w:rPr>
            </w:pPr>
            <w:r>
              <w:rPr>
                <w:rFonts w:hint="eastAsia" w:ascii="宋体" w:hAnsi="宋体" w:cs="宋体"/>
                <w:bCs/>
                <w:color w:val="000000" w:themeColor="text1"/>
                <w14:textFill>
                  <w14:solidFill>
                    <w14:schemeClr w14:val="tx1"/>
                  </w14:solidFill>
                </w14:textFill>
              </w:rPr>
              <w:t>是否为双层罐：是☑否□</w:t>
            </w:r>
          </w:p>
          <w:p w14:paraId="5F500114">
            <w:pPr>
              <w:pStyle w:val="11"/>
              <w:widowControl w:val="0"/>
              <w:snapToGrid w:val="0"/>
              <w:spacing w:line="240" w:lineRule="auto"/>
              <w:rPr>
                <w:rFonts w:hint="eastAsia" w:ascii="宋体" w:hAnsi="宋体" w:cs="宋体"/>
              </w:rPr>
            </w:pPr>
            <w:r>
              <w:rPr>
                <w:rFonts w:hint="eastAsia" w:ascii="宋体" w:hAnsi="宋体" w:cs="宋体"/>
              </w:rPr>
              <w:t>储存能力：120</w:t>
            </w:r>
            <w:r>
              <w:rPr>
                <w:rFonts w:hint="eastAsia" w:ascii="宋体" w:hAnsi="宋体" w:cs="宋体"/>
                <w:bCs/>
              </w:rPr>
              <w:t>m</w:t>
            </w:r>
            <w:r>
              <w:rPr>
                <w:rFonts w:hint="eastAsia" w:ascii="宋体" w:hAnsi="宋体" w:cs="宋体"/>
                <w:vertAlign w:val="superscript"/>
              </w:rPr>
              <w:t>3</w:t>
            </w:r>
          </w:p>
        </w:tc>
      </w:tr>
      <w:tr w14:paraId="330BD5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vAlign w:val="center"/>
          </w:tcPr>
          <w:p w14:paraId="711D69E4">
            <w:pPr>
              <w:pStyle w:val="11"/>
              <w:widowControl w:val="0"/>
              <w:spacing w:line="360" w:lineRule="auto"/>
              <w:rPr>
                <w:rFonts w:hint="eastAsia" w:ascii="宋体" w:hAnsi="宋体" w:cs="宋体"/>
                <w:bCs/>
              </w:rPr>
            </w:pPr>
          </w:p>
        </w:tc>
        <w:tc>
          <w:tcPr>
            <w:tcW w:w="770" w:type="pct"/>
            <w:vAlign w:val="center"/>
          </w:tcPr>
          <w:p w14:paraId="10743835">
            <w:pPr>
              <w:pStyle w:val="11"/>
              <w:widowControl w:val="0"/>
              <w:spacing w:line="360" w:lineRule="auto"/>
              <w:rPr>
                <w:rFonts w:hint="eastAsia" w:ascii="宋体" w:hAnsi="宋体" w:cs="宋体"/>
                <w:bCs/>
              </w:rPr>
            </w:pPr>
            <w:r>
              <w:rPr>
                <w:rFonts w:hint="eastAsia" w:ascii="宋体" w:hAnsi="宋体" w:cs="宋体"/>
                <w:bCs/>
              </w:rPr>
              <w:t>柴油</w:t>
            </w:r>
          </w:p>
        </w:tc>
        <w:tc>
          <w:tcPr>
            <w:tcW w:w="2057" w:type="pct"/>
            <w:gridSpan w:val="5"/>
            <w:vAlign w:val="center"/>
          </w:tcPr>
          <w:p w14:paraId="559CFDC7">
            <w:pPr>
              <w:pStyle w:val="11"/>
              <w:widowControl w:val="0"/>
              <w:spacing w:line="360" w:lineRule="auto"/>
              <w:rPr>
                <w:rFonts w:hint="eastAsia" w:ascii="宋体" w:hAnsi="宋体" w:cs="宋体"/>
                <w:bCs/>
              </w:rPr>
            </w:pPr>
            <w:r>
              <w:rPr>
                <w:rFonts w:hint="eastAsia" w:ascii="宋体" w:hAnsi="宋体" w:cs="宋体"/>
                <w:bCs/>
              </w:rPr>
              <w:t>共1个柴油罐，每罐容积为</w:t>
            </w:r>
            <w:r>
              <w:rPr>
                <w:rFonts w:hint="eastAsia" w:ascii="宋体" w:hAnsi="宋体" w:cs="宋体"/>
                <w:bCs/>
                <w:u w:val="single"/>
              </w:rPr>
              <w:t xml:space="preserve"> 30 </w:t>
            </w:r>
            <w:r>
              <w:rPr>
                <w:rFonts w:hint="eastAsia" w:ascii="宋体" w:hAnsi="宋体" w:cs="宋体"/>
                <w:bCs/>
              </w:rPr>
              <w:t>m³</w:t>
            </w:r>
          </w:p>
        </w:tc>
        <w:tc>
          <w:tcPr>
            <w:tcW w:w="1403" w:type="pct"/>
            <w:gridSpan w:val="3"/>
            <w:vMerge w:val="continue"/>
            <w:vAlign w:val="center"/>
          </w:tcPr>
          <w:p w14:paraId="02C0A1CD">
            <w:pPr>
              <w:pStyle w:val="11"/>
              <w:widowControl w:val="0"/>
              <w:spacing w:line="360" w:lineRule="auto"/>
              <w:rPr>
                <w:rFonts w:hint="eastAsia" w:ascii="宋体" w:hAnsi="宋体" w:cs="宋体"/>
                <w:bCs/>
              </w:rPr>
            </w:pPr>
          </w:p>
        </w:tc>
      </w:tr>
      <w:tr w14:paraId="603A25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restart"/>
            <w:vAlign w:val="center"/>
          </w:tcPr>
          <w:p w14:paraId="67FDA617">
            <w:pPr>
              <w:pStyle w:val="11"/>
              <w:widowControl w:val="0"/>
              <w:spacing w:line="360" w:lineRule="auto"/>
              <w:rPr>
                <w:rFonts w:hint="eastAsia" w:ascii="宋体" w:hAnsi="宋体" w:cs="宋体"/>
                <w:bCs/>
              </w:rPr>
            </w:pPr>
            <w:r>
              <w:rPr>
                <w:rFonts w:hint="eastAsia" w:ascii="宋体" w:hAnsi="宋体" w:cs="宋体"/>
                <w:bCs/>
              </w:rPr>
              <w:t>加油设施</w:t>
            </w:r>
          </w:p>
        </w:tc>
        <w:tc>
          <w:tcPr>
            <w:tcW w:w="770" w:type="pct"/>
            <w:vAlign w:val="center"/>
          </w:tcPr>
          <w:p w14:paraId="08D9BE8A">
            <w:pPr>
              <w:pStyle w:val="11"/>
              <w:widowControl w:val="0"/>
              <w:spacing w:line="360" w:lineRule="auto"/>
              <w:rPr>
                <w:rFonts w:hint="eastAsia" w:ascii="宋体" w:hAnsi="宋体" w:cs="宋体"/>
                <w:bCs/>
              </w:rPr>
            </w:pPr>
            <w:r>
              <w:rPr>
                <w:rFonts w:hint="eastAsia" w:ascii="宋体" w:hAnsi="宋体" w:cs="宋体"/>
                <w:bCs/>
              </w:rPr>
              <w:t>加油机</w:t>
            </w:r>
          </w:p>
        </w:tc>
        <w:tc>
          <w:tcPr>
            <w:tcW w:w="3460" w:type="pct"/>
            <w:gridSpan w:val="8"/>
            <w:vAlign w:val="center"/>
          </w:tcPr>
          <w:p w14:paraId="246F631D">
            <w:pPr>
              <w:pStyle w:val="11"/>
              <w:widowControl w:val="0"/>
              <w:spacing w:line="360" w:lineRule="auto"/>
              <w:rPr>
                <w:rFonts w:hint="eastAsia" w:ascii="宋体" w:hAnsi="宋体" w:cs="宋体"/>
                <w:bCs/>
              </w:rPr>
            </w:pPr>
            <w:r>
              <w:rPr>
                <w:rFonts w:hint="eastAsia" w:ascii="宋体" w:hAnsi="宋体" w:cs="宋体"/>
                <w:bCs/>
              </w:rPr>
              <w:t>3台双枪，1台单枪（均为非自助）</w:t>
            </w:r>
          </w:p>
        </w:tc>
      </w:tr>
      <w:tr w14:paraId="78A5C2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vAlign w:val="center"/>
          </w:tcPr>
          <w:p w14:paraId="31AE40EB">
            <w:pPr>
              <w:pStyle w:val="11"/>
              <w:widowControl w:val="0"/>
              <w:spacing w:line="360" w:lineRule="auto"/>
              <w:rPr>
                <w:rFonts w:hint="eastAsia" w:ascii="宋体" w:hAnsi="宋体" w:cs="宋体"/>
                <w:bCs/>
              </w:rPr>
            </w:pPr>
          </w:p>
        </w:tc>
        <w:tc>
          <w:tcPr>
            <w:tcW w:w="770" w:type="pct"/>
            <w:vAlign w:val="center"/>
          </w:tcPr>
          <w:p w14:paraId="04FD557C">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加油方式</w:t>
            </w:r>
          </w:p>
        </w:tc>
        <w:tc>
          <w:tcPr>
            <w:tcW w:w="3460" w:type="pct"/>
            <w:gridSpan w:val="8"/>
            <w:vAlign w:val="center"/>
          </w:tcPr>
          <w:p w14:paraId="05C52EEC">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潜油泵式□ 自吸式☑</w:t>
            </w:r>
          </w:p>
        </w:tc>
      </w:tr>
      <w:tr w14:paraId="64336D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restart"/>
            <w:vAlign w:val="center"/>
          </w:tcPr>
          <w:p w14:paraId="0A11DD37">
            <w:pPr>
              <w:pStyle w:val="11"/>
              <w:widowControl w:val="0"/>
              <w:spacing w:line="360" w:lineRule="auto"/>
              <w:rPr>
                <w:rFonts w:hint="eastAsia" w:ascii="宋体" w:hAnsi="宋体" w:cs="宋体"/>
                <w:bCs/>
              </w:rPr>
            </w:pPr>
            <w:r>
              <w:rPr>
                <w:rFonts w:hint="eastAsia" w:ascii="宋体" w:hAnsi="宋体" w:cs="宋体"/>
                <w:bCs/>
              </w:rPr>
              <w:t>消防设施</w:t>
            </w:r>
          </w:p>
        </w:tc>
        <w:tc>
          <w:tcPr>
            <w:tcW w:w="770" w:type="pct"/>
            <w:vAlign w:val="center"/>
          </w:tcPr>
          <w:p w14:paraId="6A6049E4">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推车式35</w:t>
            </w:r>
            <w:r>
              <w:rPr>
                <w:rFonts w:hint="eastAsia" w:ascii="宋体" w:hAnsi="宋体" w:cs="宋体"/>
                <w:color w:val="000000" w:themeColor="text1"/>
                <w14:textFill>
                  <w14:solidFill>
                    <w14:schemeClr w14:val="tx1"/>
                  </w14:solidFill>
                </w14:textFill>
              </w:rPr>
              <w:t xml:space="preserve"> kg</w:t>
            </w:r>
            <w:r>
              <w:rPr>
                <w:rFonts w:hint="eastAsia" w:ascii="宋体" w:hAnsi="宋体" w:cs="宋体"/>
                <w:bCs/>
                <w:color w:val="000000" w:themeColor="text1"/>
                <w14:textFill>
                  <w14:solidFill>
                    <w14:schemeClr w14:val="tx1"/>
                  </w14:solidFill>
                </w14:textFill>
              </w:rPr>
              <w:t>干粉灭火器</w:t>
            </w:r>
          </w:p>
        </w:tc>
        <w:tc>
          <w:tcPr>
            <w:tcW w:w="586" w:type="pct"/>
            <w:gridSpan w:val="2"/>
            <w:vAlign w:val="center"/>
          </w:tcPr>
          <w:p w14:paraId="0AFF918A">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1具</w:t>
            </w:r>
          </w:p>
        </w:tc>
        <w:tc>
          <w:tcPr>
            <w:tcW w:w="685" w:type="pct"/>
            <w:vAlign w:val="center"/>
          </w:tcPr>
          <w:p w14:paraId="097F0938">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5kg手提式干粉灭火器</w:t>
            </w:r>
          </w:p>
        </w:tc>
        <w:tc>
          <w:tcPr>
            <w:tcW w:w="785" w:type="pct"/>
            <w:gridSpan w:val="2"/>
            <w:vAlign w:val="center"/>
          </w:tcPr>
          <w:p w14:paraId="699151A7">
            <w:pPr>
              <w:pStyle w:val="11"/>
              <w:widowControl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8具</w:t>
            </w:r>
          </w:p>
        </w:tc>
        <w:tc>
          <w:tcPr>
            <w:tcW w:w="684" w:type="pct"/>
            <w:gridSpan w:val="2"/>
            <w:vAlign w:val="center"/>
          </w:tcPr>
          <w:p w14:paraId="06F6693C">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CO</w:t>
            </w:r>
            <w:r>
              <w:rPr>
                <w:rFonts w:hint="eastAsia" w:ascii="宋体" w:hAnsi="宋体" w:cs="宋体"/>
                <w:bCs/>
                <w:color w:val="000000" w:themeColor="text1"/>
                <w:vertAlign w:val="subscript"/>
                <w14:textFill>
                  <w14:solidFill>
                    <w14:schemeClr w14:val="tx1"/>
                  </w14:solidFill>
                </w14:textFill>
              </w:rPr>
              <w:t>2</w:t>
            </w:r>
            <w:r>
              <w:rPr>
                <w:rFonts w:hint="eastAsia" w:ascii="宋体" w:hAnsi="宋体" w:cs="宋体"/>
                <w:bCs/>
                <w:color w:val="000000" w:themeColor="text1"/>
                <w14:textFill>
                  <w14:solidFill>
                    <w14:schemeClr w14:val="tx1"/>
                  </w14:solidFill>
                </w14:textFill>
              </w:rPr>
              <w:t>灭火器</w:t>
            </w:r>
          </w:p>
        </w:tc>
        <w:tc>
          <w:tcPr>
            <w:tcW w:w="718" w:type="pct"/>
            <w:vAlign w:val="center"/>
          </w:tcPr>
          <w:p w14:paraId="362FD60C">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6具</w:t>
            </w:r>
          </w:p>
        </w:tc>
      </w:tr>
      <w:tr w14:paraId="1EA4FF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vAlign w:val="center"/>
          </w:tcPr>
          <w:p w14:paraId="23FC3A2A">
            <w:pPr>
              <w:pStyle w:val="11"/>
              <w:widowControl w:val="0"/>
              <w:spacing w:line="360" w:lineRule="auto"/>
              <w:rPr>
                <w:rFonts w:hint="eastAsia" w:ascii="宋体" w:hAnsi="宋体" w:cs="宋体"/>
                <w:bCs/>
              </w:rPr>
            </w:pPr>
          </w:p>
        </w:tc>
        <w:tc>
          <w:tcPr>
            <w:tcW w:w="770" w:type="pct"/>
            <w:vAlign w:val="center"/>
          </w:tcPr>
          <w:p w14:paraId="1E502A5D">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灭火毯</w:t>
            </w:r>
          </w:p>
        </w:tc>
        <w:tc>
          <w:tcPr>
            <w:tcW w:w="586" w:type="pct"/>
            <w:gridSpan w:val="2"/>
            <w:vAlign w:val="center"/>
          </w:tcPr>
          <w:p w14:paraId="0475E1BE">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5块</w:t>
            </w:r>
          </w:p>
        </w:tc>
        <w:tc>
          <w:tcPr>
            <w:tcW w:w="685" w:type="pct"/>
            <w:vAlign w:val="center"/>
          </w:tcPr>
          <w:p w14:paraId="3961F317">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消防锨</w:t>
            </w:r>
          </w:p>
        </w:tc>
        <w:tc>
          <w:tcPr>
            <w:tcW w:w="785" w:type="pct"/>
            <w:gridSpan w:val="2"/>
            <w:vAlign w:val="center"/>
          </w:tcPr>
          <w:p w14:paraId="7DB7949D">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4把</w:t>
            </w:r>
          </w:p>
        </w:tc>
        <w:tc>
          <w:tcPr>
            <w:tcW w:w="684" w:type="pct"/>
            <w:gridSpan w:val="2"/>
            <w:vAlign w:val="center"/>
          </w:tcPr>
          <w:p w14:paraId="06CD5462">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消防桶</w:t>
            </w:r>
          </w:p>
        </w:tc>
        <w:tc>
          <w:tcPr>
            <w:tcW w:w="718" w:type="pct"/>
            <w:vAlign w:val="center"/>
          </w:tcPr>
          <w:p w14:paraId="0E2AE522">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2个</w:t>
            </w:r>
          </w:p>
        </w:tc>
      </w:tr>
      <w:tr w14:paraId="1ECE45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vAlign w:val="center"/>
          </w:tcPr>
          <w:p w14:paraId="3AE2FE6C">
            <w:pPr>
              <w:pStyle w:val="11"/>
              <w:widowControl w:val="0"/>
              <w:spacing w:line="360" w:lineRule="auto"/>
              <w:rPr>
                <w:rFonts w:hint="eastAsia" w:ascii="宋体" w:hAnsi="宋体" w:cs="宋体"/>
                <w:bCs/>
              </w:rPr>
            </w:pPr>
          </w:p>
        </w:tc>
        <w:tc>
          <w:tcPr>
            <w:tcW w:w="770" w:type="pct"/>
            <w:vAlign w:val="center"/>
          </w:tcPr>
          <w:p w14:paraId="314739B8">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消防沙池</w:t>
            </w:r>
          </w:p>
        </w:tc>
        <w:tc>
          <w:tcPr>
            <w:tcW w:w="586" w:type="pct"/>
            <w:gridSpan w:val="2"/>
            <w:vAlign w:val="center"/>
          </w:tcPr>
          <w:p w14:paraId="147E226F">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2m</w:t>
            </w:r>
            <w:r>
              <w:rPr>
                <w:rFonts w:hint="eastAsia" w:ascii="宋体" w:hAnsi="宋体" w:cs="宋体"/>
                <w:bCs/>
                <w:color w:val="000000" w:themeColor="text1"/>
                <w:vertAlign w:val="superscript"/>
                <w14:textFill>
                  <w14:solidFill>
                    <w14:schemeClr w14:val="tx1"/>
                  </w14:solidFill>
                </w14:textFill>
              </w:rPr>
              <w:t>3</w:t>
            </w:r>
          </w:p>
        </w:tc>
        <w:tc>
          <w:tcPr>
            <w:tcW w:w="685" w:type="pct"/>
            <w:vAlign w:val="center"/>
          </w:tcPr>
          <w:p w14:paraId="45FBC6F4">
            <w:pPr>
              <w:pStyle w:val="11"/>
              <w:widowControl w:val="0"/>
              <w:spacing w:line="360" w:lineRule="auto"/>
              <w:rPr>
                <w:rFonts w:hint="eastAsia" w:ascii="宋体" w:hAnsi="宋体" w:cs="宋体"/>
                <w:bCs/>
                <w:color w:val="000000" w:themeColor="text1"/>
                <w14:textFill>
                  <w14:solidFill>
                    <w14:schemeClr w14:val="tx1"/>
                  </w14:solidFill>
                </w14:textFill>
              </w:rPr>
            </w:pPr>
          </w:p>
        </w:tc>
        <w:tc>
          <w:tcPr>
            <w:tcW w:w="785" w:type="pct"/>
            <w:gridSpan w:val="2"/>
            <w:vAlign w:val="center"/>
          </w:tcPr>
          <w:p w14:paraId="670C552E">
            <w:pPr>
              <w:pStyle w:val="11"/>
              <w:widowControl w:val="0"/>
              <w:spacing w:line="360" w:lineRule="auto"/>
              <w:rPr>
                <w:rFonts w:hint="eastAsia" w:ascii="宋体" w:hAnsi="宋体" w:cs="宋体"/>
                <w:bCs/>
                <w:color w:val="000000" w:themeColor="text1"/>
                <w14:textFill>
                  <w14:solidFill>
                    <w14:schemeClr w14:val="tx1"/>
                  </w14:solidFill>
                </w14:textFill>
              </w:rPr>
            </w:pPr>
          </w:p>
        </w:tc>
        <w:tc>
          <w:tcPr>
            <w:tcW w:w="684" w:type="pct"/>
            <w:gridSpan w:val="2"/>
            <w:vAlign w:val="center"/>
          </w:tcPr>
          <w:p w14:paraId="5F2CBE0B">
            <w:pPr>
              <w:pStyle w:val="11"/>
              <w:widowControl w:val="0"/>
              <w:spacing w:line="360" w:lineRule="auto"/>
              <w:rPr>
                <w:rFonts w:hint="eastAsia" w:ascii="宋体" w:hAnsi="宋体" w:cs="宋体"/>
                <w:bCs/>
                <w:color w:val="000000" w:themeColor="text1"/>
                <w14:textFill>
                  <w14:solidFill>
                    <w14:schemeClr w14:val="tx1"/>
                  </w14:solidFill>
                </w14:textFill>
              </w:rPr>
            </w:pPr>
          </w:p>
        </w:tc>
        <w:tc>
          <w:tcPr>
            <w:tcW w:w="718" w:type="pct"/>
            <w:vAlign w:val="center"/>
          </w:tcPr>
          <w:p w14:paraId="5283A142">
            <w:pPr>
              <w:pStyle w:val="11"/>
              <w:widowControl w:val="0"/>
              <w:spacing w:line="360" w:lineRule="auto"/>
              <w:rPr>
                <w:rFonts w:hint="eastAsia" w:ascii="宋体" w:hAnsi="宋体" w:cs="宋体"/>
                <w:bCs/>
                <w:color w:val="000000" w:themeColor="text1"/>
                <w14:textFill>
                  <w14:solidFill>
                    <w14:schemeClr w14:val="tx1"/>
                  </w14:solidFill>
                </w14:textFill>
              </w:rPr>
            </w:pPr>
          </w:p>
        </w:tc>
      </w:tr>
    </w:tbl>
    <w:p w14:paraId="7114C5BC">
      <w:pPr>
        <w:pStyle w:val="2"/>
        <w:rPr>
          <w:rFonts w:hint="eastAsia"/>
          <w:lang w:val="en-US" w:eastAsia="zh-CN"/>
        </w:rPr>
      </w:pPr>
    </w:p>
    <w:p w14:paraId="57829C2E">
      <w:pPr>
        <w:pStyle w:val="2"/>
        <w:rPr>
          <w:rFonts w:hint="eastAsia"/>
          <w:lang w:val="en-US" w:eastAsia="zh-CN"/>
        </w:rPr>
      </w:pPr>
    </w:p>
    <w:p w14:paraId="4F2956C8">
      <w:pPr>
        <w:pStyle w:val="2"/>
        <w:rPr>
          <w:rFonts w:hint="eastAsia"/>
          <w:lang w:val="en-US" w:eastAsia="zh-CN"/>
        </w:rPr>
      </w:pPr>
    </w:p>
    <w:p w14:paraId="2D534B63">
      <w:pPr>
        <w:pStyle w:val="9"/>
        <w:widowControl w:val="0"/>
        <w:adjustRightInd w:val="0"/>
        <w:snapToGrid w:val="0"/>
        <w:spacing w:before="0" w:beforeLines="0" w:after="0" w:afterLines="0" w:line="360" w:lineRule="auto"/>
        <w:rPr>
          <w:color w:val="auto"/>
        </w:rPr>
      </w:pPr>
      <w:bookmarkStart w:id="15" w:name="_Toc102634406"/>
      <w:bookmarkStart w:id="16" w:name="_Toc102633906"/>
      <w:bookmarkStart w:id="17" w:name="_Toc102633980"/>
      <w:bookmarkStart w:id="18" w:name="_Toc102634255"/>
      <w:r>
        <w:rPr>
          <w:color w:val="auto"/>
        </w:rPr>
        <w:t>第四章 评价单元划分与评价方法选择</w:t>
      </w:r>
      <w:bookmarkEnd w:id="15"/>
      <w:bookmarkEnd w:id="16"/>
      <w:bookmarkEnd w:id="17"/>
      <w:bookmarkEnd w:id="18"/>
    </w:p>
    <w:p w14:paraId="0CFA60DF">
      <w:pPr>
        <w:snapToGrid w:val="0"/>
        <w:spacing w:line="360" w:lineRule="auto"/>
        <w:jc w:val="center"/>
        <w:outlineLvl w:val="1"/>
        <w:rPr>
          <w:rFonts w:ascii="Calibri" w:hAnsi="Calibri" w:eastAsia="楷体_GB2312"/>
          <w:b/>
          <w:color w:val="auto"/>
          <w:kern w:val="0"/>
          <w:sz w:val="32"/>
          <w:szCs w:val="20"/>
        </w:rPr>
      </w:pPr>
      <w:bookmarkStart w:id="19" w:name="_Toc7829"/>
      <w:bookmarkStart w:id="20" w:name="_Toc102633981"/>
      <w:bookmarkStart w:id="21" w:name="_Toc102634256"/>
      <w:bookmarkStart w:id="22" w:name="_Toc102633907"/>
      <w:bookmarkStart w:id="23" w:name="_Toc192907201"/>
      <w:bookmarkStart w:id="24" w:name="_Toc272364536"/>
      <w:bookmarkStart w:id="25" w:name="_Toc102634407"/>
      <w:bookmarkStart w:id="26" w:name="_Toc198026273"/>
      <w:bookmarkStart w:id="27" w:name="_Toc23543"/>
      <w:bookmarkStart w:id="28" w:name="_Toc238007574"/>
      <w:bookmarkStart w:id="29" w:name="_Toc15033754"/>
      <w:r>
        <w:rPr>
          <w:rFonts w:ascii="Calibri" w:hAnsi="Calibri" w:eastAsia="楷体_GB2312"/>
          <w:b/>
          <w:color w:val="auto"/>
          <w:kern w:val="0"/>
          <w:sz w:val="32"/>
          <w:szCs w:val="20"/>
        </w:rPr>
        <w:t>第一节 评价单元的划分</w:t>
      </w:r>
      <w:bookmarkEnd w:id="19"/>
      <w:bookmarkEnd w:id="20"/>
      <w:bookmarkEnd w:id="21"/>
      <w:bookmarkEnd w:id="22"/>
      <w:bookmarkEnd w:id="23"/>
      <w:bookmarkEnd w:id="24"/>
      <w:bookmarkEnd w:id="25"/>
      <w:bookmarkEnd w:id="26"/>
      <w:bookmarkEnd w:id="27"/>
      <w:bookmarkEnd w:id="28"/>
      <w:bookmarkEnd w:id="29"/>
    </w:p>
    <w:p w14:paraId="5239CF88">
      <w:pPr>
        <w:pStyle w:val="8"/>
        <w:widowControl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EE624E6">
      <w:pPr>
        <w:pStyle w:val="13"/>
        <w:widowControl w:val="0"/>
        <w:spacing w:line="360" w:lineRule="auto"/>
        <w:ind w:firstLine="560"/>
        <w:jc w:val="both"/>
        <w:rPr>
          <w:color w:val="auto"/>
        </w:rPr>
      </w:pPr>
      <w:bookmarkStart w:id="30" w:name="_Toc102634257"/>
      <w:r>
        <w:rPr>
          <w:rFonts w:hint="eastAsia"/>
          <w:color w:val="auto"/>
        </w:rPr>
        <w:t>一</w:t>
      </w:r>
      <w:r>
        <w:rPr>
          <w:color w:val="auto"/>
        </w:rPr>
        <w:t>、以危险有害因素的类别为主划分评价单元</w:t>
      </w:r>
      <w:bookmarkEnd w:id="30"/>
    </w:p>
    <w:p w14:paraId="6C0E37D2">
      <w:pPr>
        <w:pStyle w:val="8"/>
        <w:widowControl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76022B5D">
      <w:pPr>
        <w:pStyle w:val="8"/>
        <w:widowControl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4CEF2FD">
      <w:pPr>
        <w:pStyle w:val="13"/>
        <w:widowControl w:val="0"/>
        <w:spacing w:line="360" w:lineRule="auto"/>
        <w:ind w:firstLine="560"/>
        <w:jc w:val="both"/>
        <w:rPr>
          <w:color w:val="auto"/>
        </w:rPr>
      </w:pPr>
      <w:bookmarkStart w:id="31" w:name="_Toc102634258"/>
      <w:r>
        <w:rPr>
          <w:rFonts w:hint="eastAsia"/>
          <w:color w:val="auto"/>
        </w:rPr>
        <w:t>二</w:t>
      </w:r>
      <w:r>
        <w:rPr>
          <w:color w:val="auto"/>
        </w:rPr>
        <w:t>、以物质特征划分评价单元</w:t>
      </w:r>
      <w:bookmarkEnd w:id="31"/>
    </w:p>
    <w:p w14:paraId="7543DE90">
      <w:pPr>
        <w:pStyle w:val="8"/>
        <w:widowControl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1ED4D24D">
      <w:pPr>
        <w:pStyle w:val="8"/>
        <w:widowControl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22913C64">
      <w:pPr>
        <w:pStyle w:val="8"/>
        <w:widowControl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根据上述常用的评价单元划分原则和方法，以及《安全评价通则》中关于安全评价报告主要内容和要求的规定结合该项目的特点和实际情况，将评价内容划分为以下四个单元：</w:t>
      </w:r>
    </w:p>
    <w:p w14:paraId="5F09E822">
      <w:pPr>
        <w:pStyle w:val="8"/>
        <w:widowControl w:val="0"/>
        <w:spacing w:line="360" w:lineRule="auto"/>
        <w:ind w:firstLine="560"/>
        <w:rPr>
          <w:rFonts w:ascii="宋体"/>
          <w:color w:val="auto"/>
        </w:rPr>
      </w:pPr>
      <w:r>
        <w:rPr>
          <w:rFonts w:ascii="宋体"/>
          <w:color w:val="auto"/>
        </w:rPr>
        <w:t>1、安全管理；</w:t>
      </w:r>
    </w:p>
    <w:p w14:paraId="0E35C396">
      <w:pPr>
        <w:pStyle w:val="8"/>
        <w:widowControl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16F98B1D">
      <w:pPr>
        <w:pStyle w:val="8"/>
        <w:widowControl w:val="0"/>
        <w:spacing w:line="360" w:lineRule="auto"/>
        <w:ind w:firstLine="560"/>
        <w:rPr>
          <w:rFonts w:ascii="宋体"/>
          <w:color w:val="auto"/>
        </w:rPr>
      </w:pPr>
      <w:r>
        <w:rPr>
          <w:rFonts w:ascii="宋体"/>
          <w:color w:val="auto"/>
        </w:rPr>
        <w:t>3、加油工艺及设施；</w:t>
      </w:r>
    </w:p>
    <w:p w14:paraId="4C2E9B16">
      <w:pPr>
        <w:pStyle w:val="8"/>
        <w:widowControl w:val="0"/>
        <w:spacing w:line="360" w:lineRule="auto"/>
        <w:ind w:firstLine="560"/>
        <w:rPr>
          <w:rFonts w:hint="eastAsia" w:ascii="宋体"/>
          <w:color w:val="auto"/>
        </w:rPr>
      </w:pPr>
      <w:r>
        <w:rPr>
          <w:rFonts w:ascii="宋体"/>
          <w:color w:val="auto"/>
        </w:rPr>
        <w:t>4、其它安全设施等。</w:t>
      </w:r>
      <w:bookmarkStart w:id="32" w:name="_Toc198026274"/>
      <w:bookmarkStart w:id="33" w:name="_Toc19785"/>
      <w:bookmarkStart w:id="34" w:name="_Toc192907202"/>
      <w:bookmarkStart w:id="35" w:name="_Toc24232"/>
      <w:bookmarkStart w:id="36" w:name="_Toc188080068"/>
      <w:bookmarkStart w:id="37" w:name="_Toc15033755"/>
      <w:bookmarkStart w:id="38" w:name="_Toc272364537"/>
      <w:bookmarkStart w:id="39" w:name="_Toc188079886"/>
      <w:bookmarkStart w:id="40" w:name="_Toc238007575"/>
    </w:p>
    <w:p w14:paraId="37EB5A4F">
      <w:pPr>
        <w:snapToGrid w:val="0"/>
        <w:spacing w:before="120" w:after="120" w:line="560" w:lineRule="exact"/>
        <w:jc w:val="center"/>
        <w:outlineLvl w:val="1"/>
        <w:rPr>
          <w:rFonts w:ascii="Calibri" w:hAnsi="Calibri" w:eastAsia="楷体_GB2312"/>
          <w:b/>
          <w:color w:val="auto"/>
          <w:kern w:val="0"/>
          <w:sz w:val="32"/>
          <w:szCs w:val="20"/>
        </w:rPr>
      </w:pPr>
      <w:bookmarkStart w:id="41" w:name="_Toc102634408"/>
      <w:bookmarkStart w:id="42" w:name="_Toc102633908"/>
      <w:bookmarkStart w:id="43" w:name="_Toc102633982"/>
      <w:bookmarkStart w:id="44" w:name="_Toc102634259"/>
      <w:r>
        <w:rPr>
          <w:rFonts w:ascii="Calibri" w:hAnsi="Calibri" w:eastAsia="楷体_GB2312"/>
          <w:b/>
          <w:color w:val="auto"/>
          <w:kern w:val="0"/>
          <w:sz w:val="32"/>
          <w:szCs w:val="20"/>
        </w:rPr>
        <w:t>第二节 评价方法的选择</w:t>
      </w:r>
      <w:bookmarkEnd w:id="32"/>
      <w:bookmarkEnd w:id="33"/>
      <w:bookmarkEnd w:id="34"/>
      <w:bookmarkEnd w:id="35"/>
      <w:bookmarkEnd w:id="36"/>
      <w:bookmarkEnd w:id="37"/>
      <w:bookmarkEnd w:id="38"/>
      <w:bookmarkEnd w:id="39"/>
      <w:bookmarkEnd w:id="40"/>
      <w:bookmarkEnd w:id="41"/>
      <w:bookmarkEnd w:id="42"/>
      <w:bookmarkEnd w:id="43"/>
      <w:bookmarkEnd w:id="44"/>
    </w:p>
    <w:p w14:paraId="57D82CF9">
      <w:pPr>
        <w:pStyle w:val="8"/>
        <w:widowControl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7B09EB35">
      <w:pPr>
        <w:pStyle w:val="8"/>
        <w:widowControl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7E1C0450">
      <w:pPr>
        <w:pStyle w:val="8"/>
        <w:widowControl w:val="0"/>
        <w:spacing w:line="360" w:lineRule="auto"/>
        <w:ind w:firstLine="560"/>
        <w:rPr>
          <w:rFonts w:ascii="宋体"/>
          <w:color w:val="auto"/>
        </w:rPr>
      </w:pPr>
      <w:r>
        <w:rPr>
          <w:rFonts w:ascii="宋体"/>
          <w:color w:val="auto"/>
        </w:rPr>
        <w:t>根据本次安全评价的特点，结合</w:t>
      </w:r>
      <w:r>
        <w:rPr>
          <w:rFonts w:hint="eastAsia" w:ascii="宋体"/>
          <w:color w:val="auto"/>
          <w:lang w:eastAsia="zh-CN"/>
        </w:rPr>
        <w:t>中国石化山东泰山石油股份有限公司泰安第三十</w:t>
      </w:r>
      <w:r>
        <w:rPr>
          <w:rFonts w:hint="eastAsia" w:ascii="宋体"/>
          <w:color w:val="auto"/>
          <w:lang w:val="en-US" w:eastAsia="zh-CN"/>
        </w:rPr>
        <w:t>六</w:t>
      </w:r>
      <w:r>
        <w:rPr>
          <w:rFonts w:hint="eastAsia" w:ascii="宋体"/>
          <w:color w:val="auto"/>
          <w:lang w:eastAsia="zh-CN"/>
        </w:rPr>
        <w:t>加油站</w:t>
      </w:r>
      <w:r>
        <w:rPr>
          <w:rFonts w:ascii="宋体"/>
          <w:color w:val="auto"/>
        </w:rPr>
        <w:t>的具体情况，选用安全检查表、事故树法及危险度评价法对加油站进行评价。具体应用如下表所示：</w:t>
      </w:r>
    </w:p>
    <w:p w14:paraId="014D1FFB">
      <w:pPr>
        <w:pStyle w:val="10"/>
        <w:widowControl w:val="0"/>
        <w:outlineLvl w:val="9"/>
        <w:rPr>
          <w:rFonts w:ascii="黑体" w:hAnsi="黑体"/>
          <w:color w:val="auto"/>
        </w:rPr>
      </w:pPr>
      <w:r>
        <w:rPr>
          <w:rFonts w:ascii="黑体" w:hAnsi="黑体"/>
          <w:color w:val="auto"/>
        </w:rPr>
        <w:t>表4.2-1 评价方法选择一览表</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2460"/>
        <w:gridCol w:w="2291"/>
        <w:gridCol w:w="2240"/>
        <w:gridCol w:w="1861"/>
      </w:tblGrid>
      <w:tr w14:paraId="22362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noWrap w:val="0"/>
            <w:vAlign w:val="center"/>
          </w:tcPr>
          <w:p w14:paraId="27D24F3B">
            <w:pPr>
              <w:pStyle w:val="11"/>
              <w:widowControl w:val="0"/>
              <w:spacing w:line="360" w:lineRule="auto"/>
              <w:rPr>
                <w:rFonts w:ascii="宋体"/>
                <w:b/>
                <w:color w:val="auto"/>
                <w:lang w:val="en-GB"/>
              </w:rPr>
            </w:pPr>
            <w:r>
              <w:rPr>
                <w:rFonts w:ascii="宋体"/>
                <w:b/>
                <w:color w:val="auto"/>
                <w:lang w:val="en-GB"/>
              </w:rPr>
              <w:t>序号</w:t>
            </w:r>
          </w:p>
        </w:tc>
        <w:tc>
          <w:tcPr>
            <w:tcW w:w="1285" w:type="pct"/>
            <w:vMerge w:val="restart"/>
            <w:noWrap w:val="0"/>
            <w:vAlign w:val="center"/>
          </w:tcPr>
          <w:p w14:paraId="60A10806">
            <w:pPr>
              <w:pStyle w:val="11"/>
              <w:widowControl w:val="0"/>
              <w:spacing w:line="360" w:lineRule="auto"/>
              <w:rPr>
                <w:rFonts w:ascii="宋体"/>
                <w:b/>
                <w:color w:val="auto"/>
              </w:rPr>
            </w:pPr>
            <w:r>
              <w:rPr>
                <w:rFonts w:ascii="宋体"/>
                <w:b/>
                <w:bCs/>
                <w:color w:val="auto"/>
                <w:lang w:val="en-GB"/>
              </w:rPr>
              <w:t>评价单元</w:t>
            </w:r>
          </w:p>
        </w:tc>
        <w:tc>
          <w:tcPr>
            <w:tcW w:w="3339" w:type="pct"/>
            <w:gridSpan w:val="3"/>
            <w:noWrap w:val="0"/>
            <w:vAlign w:val="center"/>
          </w:tcPr>
          <w:p w14:paraId="694EA1AE">
            <w:pPr>
              <w:pStyle w:val="11"/>
              <w:widowControl w:val="0"/>
              <w:spacing w:line="360" w:lineRule="auto"/>
              <w:rPr>
                <w:rFonts w:ascii="宋体"/>
                <w:b/>
                <w:color w:val="auto"/>
              </w:rPr>
            </w:pPr>
            <w:r>
              <w:rPr>
                <w:rFonts w:ascii="宋体"/>
                <w:b/>
                <w:color w:val="auto"/>
                <w:lang w:val="en-GB"/>
              </w:rPr>
              <w:t>评价方法</w:t>
            </w:r>
          </w:p>
        </w:tc>
      </w:tr>
      <w:tr w14:paraId="16A2B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noWrap w:val="0"/>
            <w:vAlign w:val="center"/>
          </w:tcPr>
          <w:p w14:paraId="6FA38C84">
            <w:pPr>
              <w:pStyle w:val="11"/>
              <w:widowControl w:val="0"/>
              <w:spacing w:line="360" w:lineRule="auto"/>
              <w:rPr>
                <w:rFonts w:ascii="宋体"/>
                <w:b/>
                <w:color w:val="auto"/>
                <w:lang w:val="en-GB"/>
              </w:rPr>
            </w:pPr>
          </w:p>
        </w:tc>
        <w:tc>
          <w:tcPr>
            <w:tcW w:w="1285" w:type="pct"/>
            <w:vMerge w:val="continue"/>
            <w:noWrap w:val="0"/>
            <w:vAlign w:val="center"/>
          </w:tcPr>
          <w:p w14:paraId="31F118FF">
            <w:pPr>
              <w:pStyle w:val="11"/>
              <w:widowControl w:val="0"/>
              <w:spacing w:line="360" w:lineRule="auto"/>
              <w:rPr>
                <w:rFonts w:ascii="宋体"/>
                <w:b/>
                <w:color w:val="auto"/>
              </w:rPr>
            </w:pPr>
          </w:p>
        </w:tc>
        <w:tc>
          <w:tcPr>
            <w:tcW w:w="1197" w:type="pct"/>
            <w:noWrap w:val="0"/>
            <w:vAlign w:val="center"/>
          </w:tcPr>
          <w:p w14:paraId="69BBFF9A">
            <w:pPr>
              <w:pStyle w:val="11"/>
              <w:widowControl w:val="0"/>
              <w:spacing w:line="360" w:lineRule="auto"/>
              <w:rPr>
                <w:rFonts w:ascii="宋体"/>
                <w:b/>
                <w:color w:val="auto"/>
                <w:lang w:val="en-GB"/>
              </w:rPr>
            </w:pPr>
            <w:r>
              <w:rPr>
                <w:rFonts w:ascii="宋体"/>
                <w:b/>
                <w:color w:val="auto"/>
                <w:lang w:val="en-GB"/>
              </w:rPr>
              <w:t>安全检查表</w:t>
            </w:r>
          </w:p>
        </w:tc>
        <w:tc>
          <w:tcPr>
            <w:tcW w:w="1170" w:type="pct"/>
            <w:noWrap w:val="0"/>
            <w:vAlign w:val="center"/>
          </w:tcPr>
          <w:p w14:paraId="5E73C3F5">
            <w:pPr>
              <w:pStyle w:val="11"/>
              <w:widowControl w:val="0"/>
              <w:spacing w:line="360" w:lineRule="auto"/>
              <w:rPr>
                <w:rFonts w:ascii="宋体"/>
                <w:b/>
                <w:color w:val="auto"/>
                <w:lang w:val="en-GB"/>
              </w:rPr>
            </w:pPr>
            <w:r>
              <w:rPr>
                <w:rFonts w:ascii="宋体"/>
                <w:b/>
                <w:color w:val="auto"/>
                <w:lang w:val="en-GB"/>
              </w:rPr>
              <w:t>危险度评价法</w:t>
            </w:r>
          </w:p>
        </w:tc>
        <w:tc>
          <w:tcPr>
            <w:tcW w:w="972" w:type="pct"/>
            <w:noWrap w:val="0"/>
            <w:vAlign w:val="center"/>
          </w:tcPr>
          <w:p w14:paraId="21A1A3FE">
            <w:pPr>
              <w:pStyle w:val="11"/>
              <w:widowControl w:val="0"/>
              <w:spacing w:line="360" w:lineRule="auto"/>
              <w:rPr>
                <w:rFonts w:ascii="宋体"/>
                <w:b/>
                <w:color w:val="auto"/>
                <w:lang w:val="en-GB"/>
              </w:rPr>
            </w:pPr>
            <w:r>
              <w:rPr>
                <w:rFonts w:ascii="宋体"/>
                <w:b/>
                <w:color w:val="auto"/>
                <w:lang w:val="en-GB"/>
              </w:rPr>
              <w:t>事故树法</w:t>
            </w:r>
          </w:p>
        </w:tc>
      </w:tr>
      <w:tr w14:paraId="285F7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73648F6A">
            <w:pPr>
              <w:pStyle w:val="11"/>
              <w:widowControl w:val="0"/>
              <w:spacing w:line="360" w:lineRule="auto"/>
              <w:rPr>
                <w:rFonts w:ascii="宋体"/>
                <w:color w:val="auto"/>
                <w:lang w:val="en-GB"/>
              </w:rPr>
            </w:pPr>
            <w:r>
              <w:rPr>
                <w:rFonts w:ascii="宋体"/>
                <w:color w:val="auto"/>
                <w:lang w:val="en-GB"/>
              </w:rPr>
              <w:t>1</w:t>
            </w:r>
          </w:p>
        </w:tc>
        <w:tc>
          <w:tcPr>
            <w:tcW w:w="1285" w:type="pct"/>
            <w:noWrap w:val="0"/>
            <w:vAlign w:val="center"/>
          </w:tcPr>
          <w:p w14:paraId="6C74F9B2">
            <w:pPr>
              <w:pStyle w:val="11"/>
              <w:widowControl w:val="0"/>
              <w:spacing w:line="360" w:lineRule="auto"/>
              <w:rPr>
                <w:rFonts w:ascii="宋体"/>
                <w:color w:val="auto"/>
                <w:lang w:val="en-GB"/>
              </w:rPr>
            </w:pPr>
            <w:r>
              <w:rPr>
                <w:rFonts w:ascii="宋体"/>
                <w:color w:val="auto"/>
                <w:lang w:val="en-GB"/>
              </w:rPr>
              <w:t>安全管理单元</w:t>
            </w:r>
          </w:p>
        </w:tc>
        <w:tc>
          <w:tcPr>
            <w:tcW w:w="1197" w:type="pct"/>
            <w:noWrap w:val="0"/>
            <w:vAlign w:val="center"/>
          </w:tcPr>
          <w:p w14:paraId="24D8BABF">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01A10CF">
            <w:pPr>
              <w:pStyle w:val="11"/>
              <w:widowControl w:val="0"/>
              <w:spacing w:line="360" w:lineRule="auto"/>
              <w:rPr>
                <w:rFonts w:ascii="宋体"/>
                <w:color w:val="auto"/>
              </w:rPr>
            </w:pPr>
          </w:p>
        </w:tc>
        <w:tc>
          <w:tcPr>
            <w:tcW w:w="972" w:type="pct"/>
            <w:noWrap w:val="0"/>
            <w:vAlign w:val="center"/>
          </w:tcPr>
          <w:p w14:paraId="7B0BC0CD">
            <w:pPr>
              <w:pStyle w:val="11"/>
              <w:widowControl w:val="0"/>
              <w:spacing w:line="360" w:lineRule="auto"/>
              <w:rPr>
                <w:rFonts w:ascii="宋体"/>
                <w:color w:val="auto"/>
              </w:rPr>
            </w:pPr>
          </w:p>
        </w:tc>
      </w:tr>
      <w:tr w14:paraId="249DD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2221AA79">
            <w:pPr>
              <w:pStyle w:val="11"/>
              <w:widowControl w:val="0"/>
              <w:spacing w:line="360" w:lineRule="auto"/>
              <w:rPr>
                <w:rFonts w:ascii="宋体"/>
                <w:color w:val="auto"/>
                <w:lang w:val="en-GB"/>
              </w:rPr>
            </w:pPr>
            <w:r>
              <w:rPr>
                <w:rFonts w:ascii="宋体"/>
                <w:color w:val="auto"/>
                <w:lang w:val="en-GB"/>
              </w:rPr>
              <w:t>2</w:t>
            </w:r>
          </w:p>
        </w:tc>
        <w:tc>
          <w:tcPr>
            <w:tcW w:w="1285" w:type="pct"/>
            <w:noWrap w:val="0"/>
            <w:vAlign w:val="center"/>
          </w:tcPr>
          <w:p w14:paraId="7227F9AE">
            <w:pPr>
              <w:pStyle w:val="11"/>
              <w:widowControl w:val="0"/>
              <w:spacing w:line="360" w:lineRule="auto"/>
              <w:rPr>
                <w:rFonts w:ascii="宋体"/>
                <w:color w:val="auto"/>
                <w:lang w:val="en-GB"/>
              </w:rPr>
            </w:pPr>
            <w:r>
              <w:rPr>
                <w:rFonts w:ascii="宋体"/>
                <w:color w:val="auto"/>
                <w:lang w:val="en-GB"/>
              </w:rPr>
              <w:t>站址选择及总平面布置</w:t>
            </w:r>
          </w:p>
        </w:tc>
        <w:tc>
          <w:tcPr>
            <w:tcW w:w="1197" w:type="pct"/>
            <w:noWrap w:val="0"/>
            <w:vAlign w:val="center"/>
          </w:tcPr>
          <w:p w14:paraId="54B523CC">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78748103">
            <w:pPr>
              <w:pStyle w:val="11"/>
              <w:widowControl w:val="0"/>
              <w:spacing w:line="360" w:lineRule="auto"/>
              <w:rPr>
                <w:rFonts w:ascii="宋体"/>
                <w:color w:val="auto"/>
              </w:rPr>
            </w:pPr>
          </w:p>
        </w:tc>
        <w:tc>
          <w:tcPr>
            <w:tcW w:w="972" w:type="pct"/>
            <w:noWrap w:val="0"/>
            <w:vAlign w:val="center"/>
          </w:tcPr>
          <w:p w14:paraId="11FCBE08">
            <w:pPr>
              <w:pStyle w:val="11"/>
              <w:widowControl w:val="0"/>
              <w:spacing w:line="360" w:lineRule="auto"/>
              <w:rPr>
                <w:rFonts w:ascii="宋体"/>
                <w:color w:val="auto"/>
              </w:rPr>
            </w:pPr>
          </w:p>
        </w:tc>
      </w:tr>
      <w:tr w14:paraId="30520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57ABB17D">
            <w:pPr>
              <w:pStyle w:val="11"/>
              <w:widowControl w:val="0"/>
              <w:spacing w:line="360" w:lineRule="auto"/>
              <w:rPr>
                <w:rFonts w:ascii="宋体"/>
                <w:color w:val="auto"/>
                <w:lang w:val="en-GB"/>
              </w:rPr>
            </w:pPr>
            <w:r>
              <w:rPr>
                <w:rFonts w:ascii="宋体"/>
                <w:color w:val="auto"/>
                <w:lang w:val="en-GB"/>
              </w:rPr>
              <w:t>3</w:t>
            </w:r>
          </w:p>
        </w:tc>
        <w:tc>
          <w:tcPr>
            <w:tcW w:w="1285" w:type="pct"/>
            <w:noWrap w:val="0"/>
            <w:vAlign w:val="center"/>
          </w:tcPr>
          <w:p w14:paraId="7B2EB380">
            <w:pPr>
              <w:pStyle w:val="11"/>
              <w:widowControl w:val="0"/>
              <w:spacing w:line="360" w:lineRule="auto"/>
              <w:rPr>
                <w:rFonts w:ascii="宋体"/>
                <w:color w:val="auto"/>
                <w:lang w:val="en-GB"/>
              </w:rPr>
            </w:pPr>
            <w:r>
              <w:rPr>
                <w:rFonts w:ascii="宋体"/>
                <w:color w:val="auto"/>
                <w:lang w:val="en-GB"/>
              </w:rPr>
              <w:t>加油工艺及设施</w:t>
            </w:r>
          </w:p>
        </w:tc>
        <w:tc>
          <w:tcPr>
            <w:tcW w:w="1197" w:type="pct"/>
            <w:noWrap w:val="0"/>
            <w:vAlign w:val="center"/>
          </w:tcPr>
          <w:p w14:paraId="606FF95D">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35EE852">
            <w:pPr>
              <w:pStyle w:val="11"/>
              <w:widowControl w:val="0"/>
              <w:spacing w:line="360" w:lineRule="auto"/>
              <w:rPr>
                <w:rFonts w:ascii="宋体"/>
                <w:color w:val="auto"/>
              </w:rPr>
            </w:pPr>
            <w:r>
              <w:rPr>
                <w:rFonts w:hint="eastAsia" w:ascii="宋体" w:hAnsi="宋体" w:cs="宋体"/>
                <w:color w:val="auto"/>
              </w:rPr>
              <w:t>★</w:t>
            </w:r>
          </w:p>
        </w:tc>
        <w:tc>
          <w:tcPr>
            <w:tcW w:w="972" w:type="pct"/>
            <w:noWrap w:val="0"/>
            <w:vAlign w:val="center"/>
          </w:tcPr>
          <w:p w14:paraId="7D427B82">
            <w:pPr>
              <w:pStyle w:val="11"/>
              <w:widowControl w:val="0"/>
              <w:spacing w:line="360" w:lineRule="auto"/>
              <w:rPr>
                <w:rFonts w:ascii="宋体"/>
                <w:color w:val="auto"/>
              </w:rPr>
            </w:pPr>
            <w:r>
              <w:rPr>
                <w:rFonts w:hint="eastAsia" w:ascii="宋体" w:hAnsi="宋体" w:cs="宋体"/>
                <w:color w:val="auto"/>
              </w:rPr>
              <w:t>★</w:t>
            </w:r>
          </w:p>
        </w:tc>
      </w:tr>
      <w:tr w14:paraId="35689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29428A99">
            <w:pPr>
              <w:pStyle w:val="11"/>
              <w:widowControl w:val="0"/>
              <w:spacing w:line="360" w:lineRule="auto"/>
              <w:rPr>
                <w:rFonts w:ascii="宋体"/>
                <w:color w:val="auto"/>
                <w:lang w:val="en-GB"/>
              </w:rPr>
            </w:pPr>
            <w:r>
              <w:rPr>
                <w:rFonts w:ascii="宋体"/>
                <w:color w:val="auto"/>
                <w:lang w:val="en-GB"/>
              </w:rPr>
              <w:t>4</w:t>
            </w:r>
          </w:p>
        </w:tc>
        <w:tc>
          <w:tcPr>
            <w:tcW w:w="1285" w:type="pct"/>
            <w:noWrap w:val="0"/>
            <w:vAlign w:val="center"/>
          </w:tcPr>
          <w:p w14:paraId="7BEEA9A8">
            <w:pPr>
              <w:pStyle w:val="11"/>
              <w:widowControl w:val="0"/>
              <w:spacing w:line="360" w:lineRule="auto"/>
              <w:rPr>
                <w:rFonts w:ascii="宋体"/>
                <w:color w:val="auto"/>
                <w:lang w:val="en-GB"/>
              </w:rPr>
            </w:pPr>
            <w:r>
              <w:rPr>
                <w:rFonts w:ascii="宋体"/>
                <w:color w:val="auto"/>
                <w:lang w:val="en-GB"/>
              </w:rPr>
              <w:t>其它安全设施</w:t>
            </w:r>
          </w:p>
        </w:tc>
        <w:tc>
          <w:tcPr>
            <w:tcW w:w="1197" w:type="pct"/>
            <w:noWrap w:val="0"/>
            <w:vAlign w:val="center"/>
          </w:tcPr>
          <w:p w14:paraId="7408FD92">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4FFA1DF">
            <w:pPr>
              <w:pStyle w:val="11"/>
              <w:widowControl w:val="0"/>
              <w:spacing w:line="360" w:lineRule="auto"/>
              <w:rPr>
                <w:rFonts w:ascii="宋体"/>
                <w:color w:val="auto"/>
              </w:rPr>
            </w:pPr>
          </w:p>
        </w:tc>
        <w:tc>
          <w:tcPr>
            <w:tcW w:w="972" w:type="pct"/>
            <w:noWrap w:val="0"/>
            <w:vAlign w:val="center"/>
          </w:tcPr>
          <w:p w14:paraId="03608C82">
            <w:pPr>
              <w:pStyle w:val="11"/>
              <w:widowControl w:val="0"/>
              <w:spacing w:line="360" w:lineRule="auto"/>
              <w:rPr>
                <w:rFonts w:ascii="宋体"/>
                <w:color w:val="auto"/>
              </w:rPr>
            </w:pPr>
          </w:p>
        </w:tc>
      </w:tr>
    </w:tbl>
    <w:p w14:paraId="10147963">
      <w:pPr>
        <w:pStyle w:val="8"/>
        <w:widowControl w:val="0"/>
        <w:spacing w:line="360" w:lineRule="auto"/>
        <w:ind w:firstLine="420"/>
        <w:rPr>
          <w:rFonts w:ascii="黑体" w:hAnsi="黑体" w:eastAsia="黑体"/>
          <w:color w:val="auto"/>
        </w:rPr>
      </w:pPr>
      <w:r>
        <w:rPr>
          <w:rFonts w:ascii="黑体" w:hAnsi="黑体" w:eastAsia="黑体"/>
          <w:color w:val="auto"/>
          <w:sz w:val="21"/>
          <w:szCs w:val="21"/>
          <w:u w:val="none" w:color="000000"/>
        </w:rPr>
        <w:t>注：表中“★”表示采用的评价方法。</w:t>
      </w:r>
    </w:p>
    <w:p w14:paraId="498C9DED">
      <w:pPr>
        <w:pStyle w:val="2"/>
        <w:rPr>
          <w:rFonts w:hint="eastAsia"/>
          <w:lang w:val="en-US" w:eastAsia="zh-CN"/>
        </w:rPr>
      </w:pPr>
    </w:p>
    <w:p w14:paraId="60D5F574">
      <w:pPr>
        <w:pStyle w:val="2"/>
        <w:rPr>
          <w:rFonts w:hint="eastAsia"/>
          <w:lang w:val="en-US" w:eastAsia="zh-CN"/>
        </w:rPr>
      </w:pPr>
    </w:p>
    <w:p w14:paraId="5FDB11C5">
      <w:pPr>
        <w:pStyle w:val="2"/>
        <w:rPr>
          <w:rFonts w:hint="eastAsia"/>
          <w:lang w:val="en-US" w:eastAsia="zh-CN"/>
        </w:rPr>
      </w:pPr>
    </w:p>
    <w:p w14:paraId="54D2C95D">
      <w:pPr>
        <w:pStyle w:val="2"/>
        <w:rPr>
          <w:rFonts w:hint="eastAsia"/>
          <w:lang w:val="en-US" w:eastAsia="zh-CN"/>
        </w:rPr>
      </w:pPr>
    </w:p>
    <w:p w14:paraId="74F4A6B6">
      <w:pPr>
        <w:pStyle w:val="2"/>
        <w:rPr>
          <w:rFonts w:hint="eastAsia"/>
          <w:lang w:val="en-US" w:eastAsia="zh-CN"/>
        </w:rPr>
      </w:pPr>
    </w:p>
    <w:p w14:paraId="71CFC805">
      <w:pPr>
        <w:pStyle w:val="2"/>
        <w:rPr>
          <w:rFonts w:hint="eastAsia"/>
          <w:lang w:val="en-US" w:eastAsia="zh-CN"/>
        </w:rPr>
      </w:pPr>
    </w:p>
    <w:p w14:paraId="05A78FC0">
      <w:pPr>
        <w:pStyle w:val="2"/>
        <w:rPr>
          <w:rFonts w:hint="eastAsia"/>
          <w:lang w:val="en-US" w:eastAsia="zh-CN"/>
        </w:rPr>
      </w:pPr>
    </w:p>
    <w:p w14:paraId="6B600D32">
      <w:pPr>
        <w:pStyle w:val="2"/>
        <w:rPr>
          <w:rFonts w:hint="eastAsia"/>
          <w:lang w:val="en-US" w:eastAsia="zh-CN"/>
        </w:rPr>
      </w:pPr>
    </w:p>
    <w:p w14:paraId="30DF714D">
      <w:pPr>
        <w:pStyle w:val="2"/>
        <w:rPr>
          <w:rFonts w:hint="eastAsia"/>
          <w:lang w:val="en-US" w:eastAsia="zh-CN"/>
        </w:rPr>
      </w:pPr>
    </w:p>
    <w:p w14:paraId="591A17EF">
      <w:pPr>
        <w:pStyle w:val="2"/>
        <w:rPr>
          <w:rFonts w:hint="eastAsia"/>
          <w:lang w:val="en-US" w:eastAsia="zh-CN"/>
        </w:rPr>
      </w:pPr>
    </w:p>
    <w:p w14:paraId="33FE60AF">
      <w:pPr>
        <w:pStyle w:val="9"/>
        <w:widowControl w:val="0"/>
        <w:adjustRightInd w:val="0"/>
        <w:snapToGrid w:val="0"/>
        <w:spacing w:before="468" w:beforeLines="150" w:after="156" w:afterLines="50" w:line="360" w:lineRule="auto"/>
        <w:rPr>
          <w:color w:val="auto"/>
        </w:rPr>
      </w:pPr>
      <w:bookmarkStart w:id="45" w:name="_Toc102633914"/>
      <w:bookmarkStart w:id="46" w:name="_Toc102634414"/>
      <w:bookmarkStart w:id="47" w:name="_Toc15033761"/>
      <w:bookmarkStart w:id="48" w:name="_Toc9894"/>
      <w:bookmarkStart w:id="49" w:name="_Toc102633988"/>
      <w:bookmarkStart w:id="50" w:name="_Toc102634276"/>
      <w:r>
        <w:rPr>
          <w:color w:val="auto"/>
        </w:rPr>
        <w:t>第六章  安全对策措施及建议</w:t>
      </w:r>
      <w:bookmarkEnd w:id="45"/>
      <w:bookmarkEnd w:id="46"/>
      <w:bookmarkEnd w:id="47"/>
      <w:bookmarkEnd w:id="48"/>
      <w:bookmarkEnd w:id="49"/>
      <w:bookmarkEnd w:id="50"/>
    </w:p>
    <w:p w14:paraId="0CC93D78">
      <w:pPr>
        <w:snapToGrid w:val="0"/>
        <w:spacing w:before="120" w:after="120" w:line="560" w:lineRule="exact"/>
        <w:jc w:val="center"/>
        <w:outlineLvl w:val="1"/>
        <w:rPr>
          <w:rFonts w:ascii="Calibri" w:hAnsi="Calibri" w:eastAsia="楷体_GB2312"/>
          <w:b/>
          <w:color w:val="auto"/>
          <w:kern w:val="0"/>
          <w:sz w:val="32"/>
          <w:szCs w:val="20"/>
        </w:rPr>
      </w:pPr>
      <w:bookmarkStart w:id="51" w:name="_Toc225046264"/>
      <w:bookmarkStart w:id="52" w:name="_Toc339456079"/>
      <w:bookmarkStart w:id="53" w:name="_Toc15033762"/>
      <w:bookmarkStart w:id="54" w:name="_Toc348877039"/>
      <w:bookmarkStart w:id="55" w:name="_Toc102634277"/>
      <w:bookmarkStart w:id="56" w:name="_Toc242065302"/>
      <w:bookmarkStart w:id="57" w:name="_Toc4961"/>
      <w:bookmarkStart w:id="58" w:name="_Toc102633989"/>
      <w:bookmarkStart w:id="59" w:name="_Toc102633915"/>
      <w:bookmarkStart w:id="60" w:name="_Toc102634415"/>
      <w:r>
        <w:rPr>
          <w:rFonts w:ascii="Calibri" w:hAnsi="Calibri" w:eastAsia="楷体_GB2312"/>
          <w:b/>
          <w:color w:val="auto"/>
          <w:kern w:val="0"/>
          <w:sz w:val="32"/>
          <w:szCs w:val="20"/>
        </w:rPr>
        <w:t xml:space="preserve">第一节 </w:t>
      </w:r>
      <w:bookmarkEnd w:id="51"/>
      <w:bookmarkEnd w:id="52"/>
      <w:r>
        <w:rPr>
          <w:rFonts w:ascii="Calibri" w:hAnsi="Calibri" w:eastAsia="楷体_GB2312"/>
          <w:b/>
          <w:color w:val="auto"/>
          <w:kern w:val="0"/>
          <w:sz w:val="32"/>
          <w:szCs w:val="20"/>
        </w:rPr>
        <w:t>存在的问题及整改建议</w:t>
      </w:r>
      <w:bookmarkEnd w:id="53"/>
      <w:bookmarkEnd w:id="54"/>
      <w:bookmarkEnd w:id="55"/>
      <w:bookmarkEnd w:id="56"/>
      <w:bookmarkEnd w:id="57"/>
      <w:bookmarkEnd w:id="58"/>
      <w:bookmarkEnd w:id="59"/>
      <w:bookmarkEnd w:id="60"/>
    </w:p>
    <w:p w14:paraId="6ED67031">
      <w:pPr>
        <w:adjustRightInd w:val="0"/>
        <w:snapToGrid w:val="0"/>
        <w:spacing w:line="360" w:lineRule="auto"/>
        <w:ind w:firstLine="560" w:firstLineChars="200"/>
        <w:rPr>
          <w:rFonts w:ascii="宋体"/>
          <w:color w:val="auto"/>
          <w:kern w:val="0"/>
          <w:sz w:val="28"/>
          <w:szCs w:val="20"/>
        </w:rPr>
      </w:pPr>
      <w:bookmarkStart w:id="61" w:name="_Toc49590281"/>
      <w:bookmarkStart w:id="62" w:name="_Toc15033763"/>
      <w:r>
        <w:rPr>
          <w:rFonts w:ascii="宋体"/>
          <w:color w:val="auto"/>
          <w:kern w:val="0"/>
          <w:sz w:val="28"/>
          <w:szCs w:val="20"/>
        </w:rPr>
        <w:t>通过现场检查和审查有关资料</w:t>
      </w:r>
      <w:r>
        <w:rPr>
          <w:rFonts w:hint="eastAsia" w:ascii="宋体"/>
          <w:color w:val="auto"/>
          <w:kern w:val="0"/>
          <w:sz w:val="28"/>
          <w:szCs w:val="20"/>
        </w:rPr>
        <w:t>可以看出，该加油站问题如下：</w:t>
      </w:r>
    </w:p>
    <w:bookmarkEnd w:id="61"/>
    <w:bookmarkEnd w:id="62"/>
    <w:p w14:paraId="3A171847">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3"/>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12"/>
        <w:gridCol w:w="4373"/>
      </w:tblGrid>
      <w:tr w14:paraId="248D06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2" w:hRule="atLeast"/>
          <w:tblHeader/>
          <w:jc w:val="center"/>
        </w:trPr>
        <w:tc>
          <w:tcPr>
            <w:tcW w:w="817" w:type="dxa"/>
            <w:vAlign w:val="center"/>
          </w:tcPr>
          <w:p w14:paraId="30E3FC95">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4212" w:type="dxa"/>
            <w:vAlign w:val="center"/>
          </w:tcPr>
          <w:p w14:paraId="1AED0BF4">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373" w:type="dxa"/>
            <w:vAlign w:val="center"/>
          </w:tcPr>
          <w:p w14:paraId="5A3320B7">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653721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817" w:type="dxa"/>
            <w:vAlign w:val="center"/>
          </w:tcPr>
          <w:p w14:paraId="6DCC57B4">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1</w:t>
            </w:r>
          </w:p>
        </w:tc>
        <w:tc>
          <w:tcPr>
            <w:tcW w:w="4212" w:type="dxa"/>
            <w:vAlign w:val="center"/>
          </w:tcPr>
          <w:p w14:paraId="4CAAAE81">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无</w:t>
            </w:r>
          </w:p>
        </w:tc>
        <w:tc>
          <w:tcPr>
            <w:tcW w:w="4373" w:type="dxa"/>
            <w:vAlign w:val="center"/>
          </w:tcPr>
          <w:p w14:paraId="0D6B089E">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无</w:t>
            </w:r>
          </w:p>
        </w:tc>
      </w:tr>
    </w:tbl>
    <w:p w14:paraId="7DFB7C91">
      <w:pPr>
        <w:widowControl w:val="0"/>
        <w:tabs>
          <w:tab w:val="left" w:pos="698"/>
        </w:tabs>
        <w:kinsoku/>
        <w:autoSpaceDE/>
        <w:autoSpaceDN/>
        <w:adjustRightInd/>
        <w:snapToGrid/>
        <w:spacing w:line="240" w:lineRule="auto"/>
        <w:ind w:firstLine="560" w:firstLineChars="200"/>
        <w:jc w:val="left"/>
        <w:textAlignment w:val="auto"/>
        <w:rPr>
          <w:rFonts w:hint="eastAsia" w:ascii="宋体" w:eastAsia="宋体"/>
          <w:kern w:val="0"/>
          <w:sz w:val="28"/>
          <w:szCs w:val="20"/>
          <w:lang w:eastAsia="zh-CN"/>
        </w:rPr>
      </w:pPr>
      <w:r>
        <w:rPr>
          <w:rFonts w:hint="eastAsia" w:ascii="宋体"/>
          <w:kern w:val="0"/>
          <w:sz w:val="28"/>
          <w:szCs w:val="20"/>
        </w:rPr>
        <w:t>该加油站在安全管理、站址选择及总平面布置、加油工艺及设施、其它设施等方面符合有关法律、标准规范的要求</w:t>
      </w:r>
      <w:r>
        <w:rPr>
          <w:rFonts w:hint="eastAsia" w:ascii="宋体" w:eastAsia="宋体"/>
          <w:kern w:val="0"/>
          <w:sz w:val="28"/>
          <w:szCs w:val="20"/>
          <w:lang w:eastAsia="zh-CN"/>
        </w:rPr>
        <w:t>。</w:t>
      </w:r>
    </w:p>
    <w:p w14:paraId="29FC7E10">
      <w:pPr>
        <w:pStyle w:val="2"/>
        <w:rPr>
          <w:rFonts w:hint="eastAsia" w:ascii="宋体" w:eastAsia="宋体"/>
          <w:kern w:val="0"/>
          <w:sz w:val="28"/>
          <w:szCs w:val="20"/>
          <w:lang w:eastAsia="zh-CN"/>
        </w:rPr>
      </w:pPr>
    </w:p>
    <w:p w14:paraId="7196FAF6">
      <w:pPr>
        <w:pStyle w:val="2"/>
        <w:ind w:left="0" w:leftChars="0" w:firstLine="0" w:firstLineChars="0"/>
        <w:rPr>
          <w:rFonts w:hint="eastAsia" w:ascii="宋体" w:eastAsia="宋体"/>
          <w:kern w:val="0"/>
          <w:sz w:val="28"/>
          <w:szCs w:val="20"/>
          <w:lang w:val="en-US" w:eastAsia="zh-CN"/>
        </w:rPr>
      </w:pPr>
      <w:r>
        <w:rPr>
          <w:rFonts w:hint="eastAsia" w:ascii="宋体" w:eastAsia="宋体"/>
          <w:kern w:val="0"/>
          <w:sz w:val="28"/>
          <w:szCs w:val="20"/>
          <w:lang w:val="en-US" w:eastAsia="zh-CN"/>
        </w:rPr>
        <w:t xml:space="preserve">   </w:t>
      </w:r>
    </w:p>
    <w:p w14:paraId="0BCD549E">
      <w:pPr>
        <w:pStyle w:val="2"/>
        <w:ind w:left="0" w:leftChars="0" w:firstLine="0" w:firstLineChars="0"/>
        <w:rPr>
          <w:rFonts w:hint="eastAsia" w:ascii="宋体" w:eastAsia="宋体"/>
          <w:kern w:val="0"/>
          <w:sz w:val="28"/>
          <w:szCs w:val="20"/>
          <w:lang w:val="en-US" w:eastAsia="zh-CN"/>
        </w:rPr>
      </w:pPr>
    </w:p>
    <w:p w14:paraId="754E295C">
      <w:pPr>
        <w:pStyle w:val="2"/>
        <w:ind w:left="0" w:leftChars="0" w:firstLine="0" w:firstLineChars="0"/>
        <w:rPr>
          <w:rFonts w:hint="eastAsia" w:ascii="宋体" w:eastAsia="宋体"/>
          <w:kern w:val="0"/>
          <w:sz w:val="28"/>
          <w:szCs w:val="20"/>
          <w:lang w:val="en-US" w:eastAsia="zh-CN"/>
        </w:rPr>
      </w:pPr>
    </w:p>
    <w:p w14:paraId="33ECCD2C">
      <w:pPr>
        <w:pStyle w:val="2"/>
        <w:ind w:left="0" w:leftChars="0" w:firstLine="0" w:firstLineChars="0"/>
        <w:rPr>
          <w:rFonts w:hint="eastAsia" w:ascii="宋体" w:eastAsia="宋体"/>
          <w:kern w:val="0"/>
          <w:sz w:val="28"/>
          <w:szCs w:val="20"/>
          <w:lang w:val="en-US" w:eastAsia="zh-CN"/>
        </w:rPr>
      </w:pPr>
    </w:p>
    <w:p w14:paraId="6B68A546">
      <w:pPr>
        <w:pStyle w:val="2"/>
        <w:ind w:left="0" w:leftChars="0" w:firstLine="0" w:firstLineChars="0"/>
        <w:rPr>
          <w:rFonts w:hint="eastAsia" w:ascii="宋体" w:eastAsia="宋体"/>
          <w:kern w:val="0"/>
          <w:sz w:val="28"/>
          <w:szCs w:val="20"/>
          <w:lang w:val="en-US" w:eastAsia="zh-CN"/>
        </w:rPr>
      </w:pPr>
    </w:p>
    <w:p w14:paraId="4A09A148">
      <w:pPr>
        <w:pStyle w:val="2"/>
        <w:ind w:left="0" w:leftChars="0" w:firstLine="0" w:firstLineChars="0"/>
        <w:rPr>
          <w:rFonts w:hint="eastAsia" w:ascii="宋体" w:eastAsia="宋体"/>
          <w:kern w:val="0"/>
          <w:sz w:val="28"/>
          <w:szCs w:val="20"/>
          <w:lang w:val="en-US" w:eastAsia="zh-CN"/>
        </w:rPr>
      </w:pPr>
    </w:p>
    <w:p w14:paraId="7287E591">
      <w:pPr>
        <w:pStyle w:val="2"/>
        <w:ind w:left="0" w:leftChars="0" w:firstLine="0" w:firstLineChars="0"/>
        <w:rPr>
          <w:rFonts w:hint="eastAsia" w:ascii="宋体" w:eastAsia="宋体"/>
          <w:kern w:val="0"/>
          <w:sz w:val="28"/>
          <w:szCs w:val="20"/>
          <w:lang w:val="en-US" w:eastAsia="zh-CN"/>
        </w:rPr>
      </w:pPr>
    </w:p>
    <w:p w14:paraId="234AE995">
      <w:pPr>
        <w:pStyle w:val="2"/>
        <w:ind w:left="0" w:leftChars="0" w:firstLine="0" w:firstLineChars="0"/>
        <w:rPr>
          <w:rFonts w:hint="eastAsia" w:ascii="宋体" w:eastAsia="宋体"/>
          <w:kern w:val="0"/>
          <w:sz w:val="28"/>
          <w:szCs w:val="20"/>
          <w:lang w:val="en-US" w:eastAsia="zh-CN"/>
        </w:rPr>
      </w:pPr>
    </w:p>
    <w:p w14:paraId="1D2BC367">
      <w:pPr>
        <w:pStyle w:val="2"/>
        <w:ind w:left="0" w:leftChars="0" w:firstLine="0" w:firstLineChars="0"/>
        <w:rPr>
          <w:rFonts w:hint="eastAsia" w:ascii="宋体" w:eastAsia="宋体"/>
          <w:kern w:val="0"/>
          <w:sz w:val="28"/>
          <w:szCs w:val="20"/>
          <w:lang w:val="en-US" w:eastAsia="zh-CN"/>
        </w:rPr>
      </w:pPr>
    </w:p>
    <w:p w14:paraId="7FDE32C3">
      <w:pPr>
        <w:pStyle w:val="2"/>
        <w:ind w:left="0" w:leftChars="0" w:firstLine="0" w:firstLineChars="0"/>
        <w:rPr>
          <w:rFonts w:hint="eastAsia" w:ascii="宋体" w:eastAsia="宋体"/>
          <w:kern w:val="0"/>
          <w:sz w:val="28"/>
          <w:szCs w:val="20"/>
          <w:lang w:val="en-US" w:eastAsia="zh-CN"/>
        </w:rPr>
      </w:pPr>
    </w:p>
    <w:p w14:paraId="67D86ACD">
      <w:pPr>
        <w:pStyle w:val="2"/>
        <w:ind w:left="0" w:leftChars="0" w:firstLine="0" w:firstLineChars="0"/>
        <w:rPr>
          <w:rFonts w:hint="eastAsia" w:ascii="宋体" w:eastAsia="宋体"/>
          <w:kern w:val="0"/>
          <w:sz w:val="28"/>
          <w:szCs w:val="20"/>
          <w:lang w:val="en-US" w:eastAsia="zh-CN"/>
        </w:rPr>
      </w:pPr>
    </w:p>
    <w:p w14:paraId="627DF3ED">
      <w:pPr>
        <w:pStyle w:val="2"/>
        <w:ind w:left="0" w:leftChars="0" w:firstLine="0" w:firstLineChars="0"/>
        <w:rPr>
          <w:rFonts w:hint="eastAsia" w:ascii="宋体" w:eastAsia="宋体"/>
          <w:kern w:val="0"/>
          <w:sz w:val="28"/>
          <w:szCs w:val="20"/>
          <w:lang w:val="en-US" w:eastAsia="zh-CN"/>
        </w:rPr>
      </w:pPr>
    </w:p>
    <w:p w14:paraId="5163FA0C">
      <w:pPr>
        <w:pStyle w:val="2"/>
        <w:ind w:left="0" w:leftChars="0" w:firstLine="0" w:firstLineChars="0"/>
        <w:rPr>
          <w:rFonts w:hint="eastAsia" w:ascii="宋体" w:eastAsia="宋体"/>
          <w:kern w:val="0"/>
          <w:sz w:val="28"/>
          <w:szCs w:val="20"/>
          <w:lang w:val="en-US" w:eastAsia="zh-CN"/>
        </w:rPr>
      </w:pPr>
    </w:p>
    <w:p w14:paraId="4C4F6297">
      <w:pPr>
        <w:pStyle w:val="2"/>
        <w:ind w:left="0" w:leftChars="0" w:firstLine="0" w:firstLineChars="0"/>
        <w:rPr>
          <w:rFonts w:hint="eastAsia" w:ascii="宋体" w:eastAsia="宋体"/>
          <w:kern w:val="0"/>
          <w:sz w:val="28"/>
          <w:szCs w:val="20"/>
          <w:lang w:val="en-US" w:eastAsia="zh-CN"/>
        </w:rPr>
      </w:pPr>
    </w:p>
    <w:p w14:paraId="3AEB5644">
      <w:pPr>
        <w:pStyle w:val="2"/>
        <w:ind w:left="0" w:leftChars="0" w:firstLine="0" w:firstLineChars="0"/>
        <w:rPr>
          <w:rFonts w:hint="eastAsia" w:ascii="宋体" w:eastAsia="宋体"/>
          <w:kern w:val="0"/>
          <w:sz w:val="28"/>
          <w:szCs w:val="20"/>
          <w:lang w:val="en-US" w:eastAsia="zh-CN"/>
        </w:rPr>
      </w:pPr>
    </w:p>
    <w:p w14:paraId="4A651ABE">
      <w:pPr>
        <w:pStyle w:val="2"/>
        <w:ind w:left="0" w:leftChars="0" w:firstLine="0" w:firstLineChars="0"/>
        <w:rPr>
          <w:rFonts w:hint="eastAsia" w:ascii="宋体" w:eastAsia="宋体"/>
          <w:kern w:val="0"/>
          <w:sz w:val="28"/>
          <w:szCs w:val="20"/>
          <w:lang w:val="en-US" w:eastAsia="zh-CN"/>
        </w:rPr>
      </w:pPr>
    </w:p>
    <w:p w14:paraId="07141D98">
      <w:pPr>
        <w:pStyle w:val="2"/>
        <w:ind w:left="0" w:leftChars="0" w:firstLine="0" w:firstLineChars="0"/>
        <w:rPr>
          <w:rFonts w:hint="eastAsia" w:ascii="宋体" w:eastAsia="宋体"/>
          <w:kern w:val="0"/>
          <w:sz w:val="28"/>
          <w:szCs w:val="20"/>
          <w:lang w:val="en-US" w:eastAsia="zh-CN"/>
        </w:rPr>
      </w:pPr>
    </w:p>
    <w:p w14:paraId="5BB886FE">
      <w:pPr>
        <w:pStyle w:val="2"/>
        <w:ind w:left="0" w:leftChars="0" w:firstLine="0" w:firstLineChars="0"/>
        <w:rPr>
          <w:rFonts w:hint="eastAsia" w:ascii="宋体" w:eastAsia="宋体"/>
          <w:kern w:val="0"/>
          <w:sz w:val="28"/>
          <w:szCs w:val="20"/>
          <w:lang w:val="en-US" w:eastAsia="zh-CN"/>
        </w:rPr>
      </w:pPr>
    </w:p>
    <w:p w14:paraId="0047A009">
      <w:pPr>
        <w:pStyle w:val="2"/>
        <w:ind w:left="0" w:leftChars="0" w:firstLine="0" w:firstLineChars="0"/>
        <w:rPr>
          <w:rFonts w:hint="eastAsia" w:ascii="宋体" w:eastAsia="宋体"/>
          <w:kern w:val="0"/>
          <w:sz w:val="28"/>
          <w:szCs w:val="20"/>
          <w:lang w:val="en-US" w:eastAsia="zh-CN"/>
        </w:rPr>
      </w:pPr>
    </w:p>
    <w:p w14:paraId="65E2BC00">
      <w:pPr>
        <w:pStyle w:val="2"/>
        <w:ind w:left="0" w:leftChars="0" w:firstLine="0" w:firstLineChars="0"/>
        <w:rPr>
          <w:rFonts w:hint="eastAsia" w:ascii="宋体" w:eastAsia="宋体"/>
          <w:kern w:val="0"/>
          <w:sz w:val="28"/>
          <w:szCs w:val="20"/>
          <w:lang w:val="en-US" w:eastAsia="zh-CN"/>
        </w:rPr>
      </w:pPr>
    </w:p>
    <w:p w14:paraId="6558F50A">
      <w:pPr>
        <w:pStyle w:val="2"/>
        <w:ind w:left="0" w:leftChars="0" w:firstLine="0" w:firstLineChars="0"/>
        <w:rPr>
          <w:rFonts w:hint="eastAsia" w:ascii="宋体" w:eastAsia="宋体"/>
          <w:kern w:val="0"/>
          <w:sz w:val="28"/>
          <w:szCs w:val="20"/>
          <w:lang w:val="en-US" w:eastAsia="zh-CN"/>
        </w:rPr>
      </w:pPr>
    </w:p>
    <w:p w14:paraId="14359921">
      <w:pPr>
        <w:pStyle w:val="2"/>
        <w:ind w:left="0" w:leftChars="0" w:firstLine="0" w:firstLineChars="0"/>
        <w:rPr>
          <w:rFonts w:hint="eastAsia" w:ascii="宋体" w:eastAsia="宋体"/>
          <w:kern w:val="0"/>
          <w:sz w:val="28"/>
          <w:szCs w:val="20"/>
          <w:lang w:val="en-US" w:eastAsia="zh-CN"/>
        </w:rPr>
      </w:pPr>
    </w:p>
    <w:p w14:paraId="3AF08DFF">
      <w:pPr>
        <w:pStyle w:val="2"/>
        <w:ind w:left="0" w:leftChars="0" w:firstLine="0" w:firstLineChars="0"/>
        <w:rPr>
          <w:rFonts w:hint="eastAsia" w:ascii="宋体" w:eastAsia="宋体"/>
          <w:kern w:val="0"/>
          <w:sz w:val="28"/>
          <w:szCs w:val="20"/>
          <w:lang w:val="en-US" w:eastAsia="zh-CN"/>
        </w:rPr>
      </w:pPr>
    </w:p>
    <w:p w14:paraId="1F9E243F">
      <w:pPr>
        <w:pStyle w:val="2"/>
        <w:ind w:left="0" w:leftChars="0" w:firstLine="0" w:firstLineChars="0"/>
        <w:rPr>
          <w:rFonts w:hint="eastAsia" w:ascii="宋体" w:eastAsia="宋体"/>
          <w:kern w:val="0"/>
          <w:sz w:val="28"/>
          <w:szCs w:val="20"/>
          <w:lang w:val="en-US" w:eastAsia="zh-CN"/>
        </w:rPr>
      </w:pPr>
    </w:p>
    <w:p w14:paraId="46F2D9D5">
      <w:pPr>
        <w:pStyle w:val="2"/>
        <w:ind w:left="0" w:leftChars="0" w:firstLine="0" w:firstLineChars="0"/>
        <w:rPr>
          <w:rFonts w:hint="eastAsia" w:ascii="宋体" w:eastAsia="宋体"/>
          <w:kern w:val="0"/>
          <w:sz w:val="28"/>
          <w:szCs w:val="20"/>
          <w:lang w:val="en-US" w:eastAsia="zh-CN"/>
        </w:rPr>
      </w:pPr>
    </w:p>
    <w:p w14:paraId="06E842D6">
      <w:pPr>
        <w:pStyle w:val="2"/>
        <w:ind w:left="0" w:leftChars="0" w:firstLine="0" w:firstLineChars="0"/>
        <w:rPr>
          <w:rFonts w:hint="eastAsia" w:ascii="宋体" w:eastAsia="宋体"/>
          <w:kern w:val="0"/>
          <w:sz w:val="28"/>
          <w:szCs w:val="20"/>
          <w:lang w:val="en-US" w:eastAsia="zh-CN"/>
        </w:rPr>
      </w:pPr>
      <w:r>
        <w:rPr>
          <w:rFonts w:hint="eastAsia" w:ascii="宋体" w:eastAsia="宋体"/>
          <w:kern w:val="0"/>
          <w:sz w:val="28"/>
          <w:szCs w:val="20"/>
          <w:lang w:val="en-US" w:eastAsia="zh-CN"/>
        </w:rPr>
        <w:drawing>
          <wp:inline distT="0" distB="0" distL="114300" distR="114300">
            <wp:extent cx="5932805" cy="7913370"/>
            <wp:effectExtent l="0" t="0" r="10795" b="11430"/>
            <wp:docPr id="13" name="图片 13" descr="b614d48e763c28968356b0dd0ecb9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614d48e763c28968356b0dd0ecb94a"/>
                    <pic:cNvPicPr>
                      <a:picLocks noChangeAspect="1"/>
                    </pic:cNvPicPr>
                  </pic:nvPicPr>
                  <pic:blipFill>
                    <a:blip r:embed="rId11"/>
                    <a:stretch>
                      <a:fillRect/>
                    </a:stretch>
                  </pic:blipFill>
                  <pic:spPr>
                    <a:xfrm>
                      <a:off x="0" y="0"/>
                      <a:ext cx="5932805" cy="7913370"/>
                    </a:xfrm>
                    <a:prstGeom prst="rect">
                      <a:avLst/>
                    </a:prstGeom>
                  </pic:spPr>
                </pic:pic>
              </a:graphicData>
            </a:graphic>
          </wp:inline>
        </w:drawing>
      </w:r>
    </w:p>
    <w:p w14:paraId="279DDBB4">
      <w:pPr>
        <w:pStyle w:val="2"/>
        <w:ind w:left="0" w:leftChars="0" w:firstLine="0" w:firstLineChars="0"/>
        <w:rPr>
          <w:rFonts w:hint="eastAsia" w:ascii="宋体" w:eastAsia="宋体"/>
          <w:kern w:val="0"/>
          <w:sz w:val="28"/>
          <w:szCs w:val="20"/>
          <w:lang w:val="en-US" w:eastAsia="zh-CN"/>
        </w:rPr>
      </w:pPr>
    </w:p>
    <w:p w14:paraId="355B5ECE">
      <w:pPr>
        <w:pStyle w:val="2"/>
        <w:ind w:left="0" w:leftChars="0" w:firstLine="0" w:firstLineChars="0"/>
        <w:rPr>
          <w:rFonts w:hint="eastAsia" w:ascii="宋体" w:eastAsia="宋体"/>
          <w:kern w:val="0"/>
          <w:sz w:val="28"/>
          <w:szCs w:val="20"/>
          <w:lang w:val="en-US" w:eastAsia="zh-CN"/>
        </w:rPr>
      </w:pPr>
    </w:p>
    <w:p w14:paraId="78CA6A9E">
      <w:pPr>
        <w:pStyle w:val="2"/>
        <w:ind w:left="0" w:leftChars="0" w:firstLine="0" w:firstLineChars="0"/>
        <w:rPr>
          <w:rFonts w:hint="eastAsia" w:ascii="宋体" w:eastAsia="宋体"/>
          <w:kern w:val="0"/>
          <w:sz w:val="28"/>
          <w:szCs w:val="20"/>
          <w:lang w:val="en-US" w:eastAsia="zh-CN"/>
        </w:rPr>
      </w:pPr>
    </w:p>
    <w:p w14:paraId="30FFB136">
      <w:pPr>
        <w:pStyle w:val="2"/>
        <w:ind w:left="0" w:leftChars="0" w:firstLine="0" w:firstLineChars="0"/>
        <w:rPr>
          <w:rFonts w:hint="eastAsia" w:ascii="宋体" w:eastAsia="宋体"/>
          <w:kern w:val="0"/>
          <w:sz w:val="28"/>
          <w:szCs w:val="20"/>
          <w:lang w:val="en-US" w:eastAsia="zh-CN"/>
        </w:rPr>
      </w:pPr>
      <w:r>
        <w:rPr>
          <w:rFonts w:hint="eastAsia" w:ascii="宋体" w:eastAsia="宋体"/>
          <w:kern w:val="0"/>
          <w:sz w:val="28"/>
          <w:szCs w:val="20"/>
          <w:lang w:val="en-US" w:eastAsia="zh-CN"/>
        </w:rPr>
        <w:drawing>
          <wp:inline distT="0" distB="0" distL="114300" distR="114300">
            <wp:extent cx="8425815" cy="5708650"/>
            <wp:effectExtent l="0" t="0" r="6350" b="6985"/>
            <wp:docPr id="14" name="图片 14" descr="1402a06b8e27e8d748c29b5f6d0b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402a06b8e27e8d748c29b5f6d0b560"/>
                    <pic:cNvPicPr>
                      <a:picLocks noChangeAspect="1"/>
                    </pic:cNvPicPr>
                  </pic:nvPicPr>
                  <pic:blipFill>
                    <a:blip r:embed="rId12"/>
                    <a:srcRect/>
                    <a:stretch>
                      <a:fillRect/>
                    </a:stretch>
                  </pic:blipFill>
                  <pic:spPr>
                    <a:xfrm rot="5400000">
                      <a:off x="0" y="0"/>
                      <a:ext cx="8425815" cy="5708650"/>
                    </a:xfrm>
                    <a:prstGeom prst="rect">
                      <a:avLst/>
                    </a:prstGeom>
                  </pic:spPr>
                </pic:pic>
              </a:graphicData>
            </a:graphic>
          </wp:inline>
        </w:drawing>
      </w:r>
    </w:p>
    <w:p w14:paraId="76D45960">
      <w:pPr>
        <w:pStyle w:val="2"/>
        <w:ind w:left="0" w:leftChars="0" w:firstLine="0" w:firstLineChars="0"/>
        <w:rPr>
          <w:rFonts w:hint="eastAsia" w:ascii="宋体" w:eastAsia="宋体"/>
          <w:kern w:val="0"/>
          <w:sz w:val="28"/>
          <w:szCs w:val="20"/>
          <w:lang w:val="en-US" w:eastAsia="zh-CN"/>
        </w:rPr>
      </w:pPr>
    </w:p>
    <w:p w14:paraId="6089BADB">
      <w:pPr>
        <w:pStyle w:val="2"/>
        <w:ind w:left="0" w:leftChars="0" w:firstLine="0" w:firstLineChars="0"/>
        <w:rPr>
          <w:rFonts w:hint="eastAsia" w:ascii="宋体" w:eastAsia="宋体"/>
          <w:kern w:val="0"/>
          <w:sz w:val="28"/>
          <w:szCs w:val="20"/>
          <w:lang w:val="en-US" w:eastAsia="zh-CN"/>
        </w:rPr>
      </w:pPr>
    </w:p>
    <w:p w14:paraId="725DBA6C">
      <w:pPr>
        <w:pStyle w:val="2"/>
        <w:ind w:left="0" w:leftChars="0" w:firstLine="0" w:firstLineChars="0"/>
        <w:rPr>
          <w:rFonts w:hint="eastAsia" w:ascii="宋体" w:eastAsia="宋体"/>
          <w:kern w:val="0"/>
          <w:sz w:val="28"/>
          <w:szCs w:val="20"/>
          <w:lang w:val="en-US" w:eastAsia="zh-CN"/>
        </w:rPr>
      </w:pPr>
      <w:r>
        <w:rPr>
          <w:rFonts w:hint="eastAsia" w:ascii="宋体" w:eastAsia="宋体"/>
          <w:kern w:val="0"/>
          <w:sz w:val="28"/>
          <w:szCs w:val="20"/>
          <w:lang w:val="en-US" w:eastAsia="zh-CN"/>
        </w:rPr>
        <w:drawing>
          <wp:inline distT="0" distB="0" distL="114300" distR="114300">
            <wp:extent cx="5722620" cy="8552815"/>
            <wp:effectExtent l="0" t="0" r="5080" b="6985"/>
            <wp:docPr id="15" name="图片 15" descr="b6fd2756966bb38b10665b1c559f6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6fd2756966bb38b10665b1c559f65f"/>
                    <pic:cNvPicPr>
                      <a:picLocks noChangeAspect="1"/>
                    </pic:cNvPicPr>
                  </pic:nvPicPr>
                  <pic:blipFill>
                    <a:blip r:embed="rId13"/>
                    <a:srcRect/>
                    <a:stretch>
                      <a:fillRect/>
                    </a:stretch>
                  </pic:blipFill>
                  <pic:spPr>
                    <a:xfrm>
                      <a:off x="0" y="0"/>
                      <a:ext cx="5722620" cy="8552815"/>
                    </a:xfrm>
                    <a:prstGeom prst="rect">
                      <a:avLst/>
                    </a:prstGeom>
                  </pic:spPr>
                </pic:pic>
              </a:graphicData>
            </a:graphic>
          </wp:inline>
        </w:drawing>
      </w:r>
    </w:p>
    <w:sectPr>
      <w:pgSz w:w="11906" w:h="16838"/>
      <w:pgMar w:top="1417" w:right="1134" w:bottom="1134"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MGNkYjBkMDkzYWY3ZjdlZTlmNGIwMTVmZWNkYjQifQ=="/>
  </w:docVars>
  <w:rsids>
    <w:rsidRoot w:val="439D752C"/>
    <w:rsid w:val="2B511820"/>
    <w:rsid w:val="2CF8435A"/>
    <w:rsid w:val="36920A93"/>
    <w:rsid w:val="439D752C"/>
    <w:rsid w:val="496E2A57"/>
    <w:rsid w:val="5F44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szCs w:val="20"/>
      <w:u w:color="000000"/>
    </w:rPr>
  </w:style>
  <w:style w:type="character" w:styleId="5">
    <w:name w:val="annotation reference"/>
    <w:qFormat/>
    <w:uiPriority w:val="99"/>
    <w:rPr>
      <w:sz w:val="21"/>
      <w:szCs w:val="21"/>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6评价正文"/>
    <w:autoRedefine/>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9">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0">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val="none" w:color="000000"/>
      <w:lang w:val="en-US" w:eastAsia="zh-CN" w:bidi="ar-SA"/>
    </w:rPr>
  </w:style>
  <w:style w:type="paragraph" w:customStyle="1" w:styleId="11">
    <w:name w:val="5内容评价表格"/>
    <w:autoRedefine/>
    <w:qFormat/>
    <w:uiPriority w:val="0"/>
    <w:pPr>
      <w:spacing w:line="300" w:lineRule="exact"/>
      <w:jc w:val="center"/>
    </w:pPr>
    <w:rPr>
      <w:rFonts w:ascii="Times New Roman" w:hAnsi="Times New Roman" w:eastAsia="宋体" w:cs="Times New Roman"/>
      <w:kern w:val="2"/>
      <w:sz w:val="21"/>
      <w:szCs w:val="21"/>
      <w:u w:val="none" w:color="000000"/>
      <w:lang w:val="en-US" w:eastAsia="zh-CN" w:bidi="ar-SA"/>
    </w:rPr>
  </w:style>
  <w:style w:type="paragraph" w:customStyle="1" w:styleId="12">
    <w:name w:val="7评价备注"/>
    <w:autoRedefine/>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3">
    <w:name w:val="3评价标题"/>
    <w:autoRedefine/>
    <w:qFormat/>
    <w:uiPriority w:val="0"/>
    <w:pPr>
      <w:spacing w:line="520" w:lineRule="exact"/>
      <w:ind w:firstLine="200" w:firstLineChars="200"/>
      <w:outlineLvl w:val="2"/>
    </w:pPr>
    <w:rPr>
      <w:rFonts w:ascii="Times New Roman" w:hAnsi="Times New Roman" w:eastAsia="黑体" w:cs="Times New Roman"/>
      <w:sz w:val="28"/>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1509</Words>
  <Characters>1803</Characters>
  <Lines>0</Lines>
  <Paragraphs>0</Paragraphs>
  <TotalTime>2</TotalTime>
  <ScaleCrop>false</ScaleCrop>
  <LinksUpToDate>false</LinksUpToDate>
  <CharactersWithSpaces>1825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2024-08-06T03:49:00Z</dcterms:created>
  <dc:creator>Administrator</dc:creator>
  <cp:lastModifiedBy>86138</cp:lastModifiedBy>
  <dcterms:modified xsi:type="dcterms:W3CDTF">2025-06-04T03:36:43Z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68E79501D11842178A9097CCE2A3EF02_11</vt:lpwstr>
  </property>
  <property fmtid="{D5CDD505-2E9C-101B-9397-08002B2CF9AE}" pid="4" name="KSOTemplateDocerSaveRecord">
    <vt:lpwstr>eyJoZGlkIjoiZjMxZWMwZmRjMzZlYzM2NWRiYjJmYjFkYTJjZWJiMTcifQ==</vt:lpwstr>
  </property>
</Properties>
</file>