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2A4BFBB0">
            <w:pPr>
              <w:autoSpaceDE w:val="0"/>
              <w:autoSpaceDN w:val="0"/>
              <w:adjustRightInd w:val="0"/>
              <w:snapToGrid w:val="0"/>
              <w:spacing w:line="240" w:lineRule="auto"/>
              <w:ind w:firstLine="0" w:firstLineChars="0"/>
              <w:jc w:val="center"/>
              <w:rPr>
                <w:rFonts w:hint="eastAsia"/>
                <w:color w:val="000000"/>
                <w:szCs w:val="21"/>
                <w:lang w:eastAsia="zh-CN"/>
              </w:rPr>
            </w:pPr>
            <w:r>
              <w:rPr>
                <w:rFonts w:hint="eastAsia"/>
                <w:color w:val="000000"/>
                <w:szCs w:val="21"/>
                <w:lang w:eastAsia="zh-CN"/>
              </w:rPr>
              <w:t>中国石化山东泰山石油股份有限公司</w:t>
            </w:r>
            <w:r>
              <w:rPr>
                <w:rFonts w:hint="eastAsia"/>
                <w:color w:val="000000"/>
                <w:szCs w:val="21"/>
                <w:lang w:val="en-US" w:eastAsia="zh-CN"/>
              </w:rPr>
              <w:t>泰安第四十二</w:t>
            </w:r>
            <w:r>
              <w:rPr>
                <w:rFonts w:hint="eastAsia"/>
                <w:color w:val="000000"/>
                <w:szCs w:val="21"/>
                <w:lang w:eastAsia="zh-CN"/>
              </w:rPr>
              <w:t>加油站</w:t>
            </w:r>
          </w:p>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72520D">
            <w:pPr>
              <w:adjustRightInd w:val="0"/>
              <w:snapToGrid w:val="0"/>
              <w:spacing w:line="240" w:lineRule="auto"/>
              <w:rPr>
                <w:rFonts w:hint="eastAsia" w:ascii="宋体" w:hAnsi="宋体" w:cs="宋体" w:eastAsiaTheme="minorEastAsia"/>
                <w:b w:val="0"/>
                <w:bCs w:val="0"/>
                <w:color w:val="auto"/>
                <w:kern w:val="0"/>
                <w:sz w:val="21"/>
                <w:szCs w:val="21"/>
                <w:highlight w:val="none"/>
                <w:lang w:eastAsia="zh-CN"/>
              </w:rPr>
            </w:pPr>
            <w:r>
              <w:rPr>
                <w:rFonts w:hint="eastAsia"/>
                <w:color w:val="auto"/>
                <w:lang w:val="en-US" w:eastAsia="zh-CN"/>
              </w:rPr>
              <w:t>该加油站现有埋地双层储油罐4台，</w:t>
            </w:r>
            <w:r>
              <w:rPr>
                <w:color w:val="auto"/>
              </w:rPr>
              <w:t>1</w:t>
            </w:r>
            <w:r>
              <w:rPr>
                <w:rFonts w:hint="eastAsia"/>
                <w:color w:val="auto"/>
              </w:rPr>
              <w:t>台</w:t>
            </w:r>
            <w:r>
              <w:rPr>
                <w:rFonts w:hint="eastAsia"/>
                <w:color w:val="auto"/>
                <w:lang w:val="en-US" w:eastAsia="zh-CN"/>
              </w:rPr>
              <w:t>3</w:t>
            </w:r>
            <w:r>
              <w:rPr>
                <w:rFonts w:hint="eastAsia"/>
                <w:color w:val="auto"/>
              </w:rPr>
              <w:t>0m</w:t>
            </w:r>
            <w:r>
              <w:rPr>
                <w:rFonts w:hint="eastAsia"/>
                <w:color w:val="auto"/>
                <w:vertAlign w:val="superscript"/>
              </w:rPr>
              <w:t>3</w:t>
            </w:r>
            <w:r>
              <w:rPr>
                <w:rFonts w:hint="eastAsia"/>
                <w:color w:val="auto"/>
              </w:rPr>
              <w:t>92#</w:t>
            </w:r>
            <w:r>
              <w:rPr>
                <w:rFonts w:hint="eastAsia"/>
                <w:color w:val="auto"/>
                <w:lang w:eastAsia="zh-CN"/>
              </w:rPr>
              <w:t>汽油</w:t>
            </w:r>
            <w:r>
              <w:rPr>
                <w:rFonts w:hint="eastAsia"/>
                <w:color w:val="auto"/>
              </w:rPr>
              <w:t>罐、</w:t>
            </w:r>
            <w:r>
              <w:rPr>
                <w:color w:val="auto"/>
              </w:rPr>
              <w:t>1</w:t>
            </w:r>
            <w:r>
              <w:rPr>
                <w:rFonts w:hint="eastAsia"/>
                <w:color w:val="auto"/>
              </w:rPr>
              <w:t>台</w:t>
            </w:r>
            <w:r>
              <w:rPr>
                <w:rFonts w:hint="eastAsia"/>
                <w:color w:val="auto"/>
                <w:lang w:val="en-US" w:eastAsia="zh-CN"/>
              </w:rPr>
              <w:t>3</w:t>
            </w:r>
            <w:r>
              <w:rPr>
                <w:rFonts w:hint="eastAsia"/>
                <w:color w:val="auto"/>
              </w:rPr>
              <w:t>0m</w:t>
            </w:r>
            <w:r>
              <w:rPr>
                <w:rFonts w:hint="eastAsia"/>
                <w:color w:val="auto"/>
                <w:vertAlign w:val="superscript"/>
              </w:rPr>
              <w:t>3</w:t>
            </w:r>
            <w:r>
              <w:rPr>
                <w:rFonts w:hint="eastAsia"/>
                <w:color w:val="auto"/>
              </w:rPr>
              <w:t>95#</w:t>
            </w:r>
            <w:r>
              <w:rPr>
                <w:rFonts w:hint="eastAsia"/>
                <w:color w:val="auto"/>
                <w:lang w:eastAsia="zh-CN"/>
              </w:rPr>
              <w:t>汽油</w:t>
            </w:r>
            <w:r>
              <w:rPr>
                <w:rFonts w:hint="eastAsia"/>
                <w:color w:val="auto"/>
                <w:lang w:val="en-US" w:eastAsia="zh-CN"/>
              </w:rPr>
              <w:t>罐</w:t>
            </w:r>
            <w:r>
              <w:rPr>
                <w:rFonts w:hint="eastAsia"/>
                <w:color w:val="auto"/>
                <w:lang w:eastAsia="zh-CN"/>
              </w:rPr>
              <w:t>、</w:t>
            </w:r>
            <w:r>
              <w:rPr>
                <w:color w:val="auto"/>
              </w:rPr>
              <w:t>1</w:t>
            </w:r>
            <w:r>
              <w:rPr>
                <w:rFonts w:hint="eastAsia"/>
                <w:color w:val="auto"/>
              </w:rPr>
              <w:t>台</w:t>
            </w:r>
            <w:r>
              <w:rPr>
                <w:rFonts w:hint="eastAsia"/>
                <w:color w:val="auto"/>
                <w:lang w:val="en-US" w:eastAsia="zh-CN"/>
              </w:rPr>
              <w:t>3</w:t>
            </w:r>
            <w:r>
              <w:rPr>
                <w:rFonts w:hint="eastAsia"/>
                <w:color w:val="auto"/>
              </w:rPr>
              <w:t>0m</w:t>
            </w:r>
            <w:r>
              <w:rPr>
                <w:rFonts w:hint="eastAsia"/>
                <w:color w:val="auto"/>
                <w:vertAlign w:val="superscript"/>
              </w:rPr>
              <w:t>3</w:t>
            </w:r>
            <w:r>
              <w:rPr>
                <w:rFonts w:hint="eastAsia"/>
                <w:color w:val="auto"/>
              </w:rPr>
              <w:t>9</w:t>
            </w:r>
            <w:r>
              <w:rPr>
                <w:rFonts w:hint="eastAsia"/>
                <w:color w:val="auto"/>
                <w:lang w:val="en-US" w:eastAsia="zh-CN"/>
              </w:rPr>
              <w:t>8</w:t>
            </w:r>
            <w:r>
              <w:rPr>
                <w:rFonts w:hint="eastAsia"/>
                <w:color w:val="auto"/>
              </w:rPr>
              <w:t>#</w:t>
            </w:r>
            <w:r>
              <w:rPr>
                <w:rFonts w:hint="eastAsia"/>
                <w:color w:val="auto"/>
                <w:lang w:eastAsia="zh-CN"/>
              </w:rPr>
              <w:t>汽油</w:t>
            </w:r>
            <w:r>
              <w:rPr>
                <w:rFonts w:hint="eastAsia"/>
                <w:color w:val="auto"/>
                <w:lang w:val="en-US" w:eastAsia="zh-CN"/>
              </w:rPr>
              <w:t>罐</w:t>
            </w:r>
            <w:r>
              <w:rPr>
                <w:rFonts w:hint="eastAsia"/>
                <w:color w:val="auto"/>
                <w:lang w:eastAsia="zh-CN"/>
              </w:rPr>
              <w:t>、</w:t>
            </w:r>
            <w:r>
              <w:rPr>
                <w:rFonts w:hint="eastAsia"/>
                <w:color w:val="auto"/>
                <w:lang w:val="en-US" w:eastAsia="zh-CN"/>
              </w:rPr>
              <w:t>1</w:t>
            </w:r>
            <w:r>
              <w:rPr>
                <w:rFonts w:hint="eastAsia"/>
                <w:color w:val="auto"/>
              </w:rPr>
              <w:t>台</w:t>
            </w:r>
            <w:r>
              <w:rPr>
                <w:rFonts w:hint="eastAsia"/>
                <w:color w:val="auto"/>
                <w:lang w:val="en-US" w:eastAsia="zh-CN"/>
              </w:rPr>
              <w:t>3</w:t>
            </w:r>
            <w:r>
              <w:rPr>
                <w:rFonts w:hint="eastAsia"/>
                <w:color w:val="auto"/>
              </w:rPr>
              <w:t>0m</w:t>
            </w:r>
            <w:r>
              <w:rPr>
                <w:rFonts w:hint="eastAsia"/>
                <w:color w:val="auto"/>
                <w:vertAlign w:val="superscript"/>
              </w:rPr>
              <w:t>3</w:t>
            </w:r>
            <w:r>
              <w:rPr>
                <w:rFonts w:hint="eastAsia"/>
                <w:color w:val="auto"/>
              </w:rPr>
              <w:t>柴油罐</w:t>
            </w:r>
            <w:r>
              <w:rPr>
                <w:rFonts w:hint="eastAsia"/>
                <w:color w:val="auto"/>
                <w:lang w:eastAsia="zh-CN"/>
              </w:rPr>
              <w:t>，</w:t>
            </w:r>
            <w:r>
              <w:rPr>
                <w:rFonts w:hint="eastAsia"/>
                <w:color w:val="auto"/>
                <w:lang w:val="en-US" w:eastAsia="zh-CN"/>
              </w:rPr>
              <w:t>油气回收处理装置</w:t>
            </w:r>
            <w:r>
              <w:rPr>
                <w:rFonts w:hint="eastAsia"/>
                <w:color w:val="auto"/>
                <w:highlight w:val="none"/>
                <w:lang w:eastAsia="zh-CN"/>
              </w:rPr>
              <w:t>。</w:t>
            </w:r>
            <w:r>
              <w:rPr>
                <w:rFonts w:hint="eastAsia"/>
                <w:color w:val="auto"/>
                <w:lang w:val="en-US" w:eastAsia="zh-CN"/>
              </w:rPr>
              <w:t>加油站设置</w:t>
            </w:r>
            <w:r>
              <w:rPr>
                <w:color w:val="auto"/>
              </w:rPr>
              <w:t>设置罩棚一处，</w:t>
            </w:r>
            <w:r>
              <w:rPr>
                <w:rFonts w:hint="eastAsia"/>
                <w:color w:val="auto"/>
              </w:rPr>
              <w:t>罩棚下设置</w:t>
            </w:r>
            <w:r>
              <w:rPr>
                <w:rFonts w:hint="eastAsia"/>
                <w:color w:val="auto"/>
                <w:lang w:val="en-US" w:eastAsia="zh-CN"/>
              </w:rPr>
              <w:t>4</w:t>
            </w:r>
            <w:r>
              <w:rPr>
                <w:rFonts w:hint="eastAsia"/>
                <w:color w:val="auto"/>
              </w:rPr>
              <w:t>台</w:t>
            </w:r>
            <w:r>
              <w:rPr>
                <w:rFonts w:hint="eastAsia"/>
                <w:color w:val="auto"/>
                <w:lang w:val="en-US" w:eastAsia="zh-CN"/>
              </w:rPr>
              <w:t>单</w:t>
            </w:r>
            <w:r>
              <w:rPr>
                <w:rFonts w:hint="eastAsia"/>
                <w:color w:val="auto"/>
              </w:rPr>
              <w:t>枪加油机</w:t>
            </w:r>
            <w:r>
              <w:rPr>
                <w:rFonts w:hint="eastAsia"/>
                <w:color w:val="auto"/>
                <w:lang w:eastAsia="zh-CN"/>
              </w:rPr>
              <w:t>，</w:t>
            </w:r>
            <w:r>
              <w:rPr>
                <w:rFonts w:hint="eastAsia"/>
                <w:color w:val="auto"/>
                <w:lang w:val="en-US" w:eastAsia="zh-CN"/>
              </w:rPr>
              <w:t>1</w:t>
            </w:r>
            <w:r>
              <w:rPr>
                <w:rFonts w:hint="eastAsia"/>
                <w:color w:val="auto"/>
              </w:rPr>
              <w:t>台</w:t>
            </w:r>
            <w:r>
              <w:rPr>
                <w:rFonts w:hint="eastAsia"/>
                <w:color w:val="auto"/>
                <w:lang w:val="en-US" w:eastAsia="zh-CN"/>
              </w:rPr>
              <w:t>双</w:t>
            </w:r>
            <w:r>
              <w:rPr>
                <w:rFonts w:hint="eastAsia"/>
                <w:color w:val="auto"/>
              </w:rPr>
              <w:t>枪加油机</w:t>
            </w:r>
            <w:r>
              <w:rPr>
                <w:rFonts w:hint="eastAsia"/>
                <w:color w:val="auto"/>
                <w:lang w:eastAsia="zh-CN"/>
              </w:rPr>
              <w:t>。</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kern w:val="2"/>
                <w:sz w:val="24"/>
                <w:szCs w:val="24"/>
                <w:lang w:val="en-US" w:eastAsia="zh-CN" w:bidi="ar-SA"/>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widowControl/>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sz w:val="24"/>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9844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FABF5A0">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4"/>
              </w:rPr>
              <w:t>刘振忠</w:t>
            </w:r>
          </w:p>
        </w:tc>
        <w:tc>
          <w:tcPr>
            <w:tcW w:w="2918" w:type="dxa"/>
            <w:tcBorders>
              <w:tl2br w:val="nil"/>
              <w:tr2bl w:val="nil"/>
            </w:tcBorders>
            <w:shd w:val="clear" w:color="auto" w:fill="auto"/>
            <w:noWrap/>
            <w:vAlign w:val="center"/>
          </w:tcPr>
          <w:p w14:paraId="5F54E6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崔强</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2023.12.21</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2024.11.4</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2024.11.13</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2024.11.16</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安全评价报告提交时间：2024.12.10</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00075BF9">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rPr>
      </w:pPr>
      <w:bookmarkStart w:id="0" w:name="_Toc102634226"/>
      <w:bookmarkStart w:id="1" w:name="_Toc8295"/>
      <w:bookmarkStart w:id="2" w:name="_Toc102633895"/>
      <w:bookmarkStart w:id="3" w:name="_Toc15033742"/>
      <w:bookmarkStart w:id="4" w:name="_Toc102634395"/>
      <w:bookmarkStart w:id="5" w:name="_Toc102633969"/>
      <w:bookmarkStart w:id="6" w:name="_Toc102634255"/>
      <w:bookmarkStart w:id="7" w:name="_Toc102633980"/>
      <w:bookmarkStart w:id="8" w:name="_Toc102634406"/>
      <w:bookmarkStart w:id="9" w:name="_Toc102633906"/>
      <w:bookmarkStart w:id="10" w:name="_Toc1454"/>
      <w:r>
        <w:rPr>
          <w:rFonts w:hint="eastAsia"/>
          <w:color w:val="auto"/>
        </w:rPr>
        <w:t>第二章 加油站概况</w:t>
      </w:r>
      <w:bookmarkEnd w:id="0"/>
      <w:bookmarkEnd w:id="1"/>
      <w:bookmarkEnd w:id="2"/>
      <w:bookmarkEnd w:id="3"/>
      <w:bookmarkEnd w:id="4"/>
      <w:bookmarkEnd w:id="5"/>
    </w:p>
    <w:p w14:paraId="0A68C8C9">
      <w:pPr>
        <w:pStyle w:val="4"/>
        <w:spacing w:before="312" w:beforeLines="100" w:after="312" w:afterLines="100" w:line="360" w:lineRule="auto"/>
        <w:ind w:firstLine="0"/>
        <w:rPr>
          <w:rFonts w:hint="eastAsia"/>
          <w:color w:val="auto"/>
        </w:rPr>
      </w:pPr>
      <w:bookmarkStart w:id="11" w:name="_Toc26504"/>
      <w:bookmarkStart w:id="12" w:name="_Toc102633896"/>
      <w:bookmarkStart w:id="13" w:name="_Toc208733856"/>
      <w:bookmarkStart w:id="14" w:name="_Toc102633970"/>
      <w:bookmarkStart w:id="15" w:name="_Toc272364524"/>
      <w:bookmarkStart w:id="16" w:name="_Toc102634227"/>
      <w:bookmarkStart w:id="17" w:name="_Toc102634396"/>
      <w:bookmarkStart w:id="18" w:name="_Toc30066"/>
      <w:bookmarkStart w:id="19" w:name="_Toc13779"/>
      <w:bookmarkStart w:id="20" w:name="_Toc15033743"/>
      <w:r>
        <w:rPr>
          <w:rFonts w:hint="eastAsia"/>
          <w:color w:val="auto"/>
        </w:rPr>
        <w:t>第一节 加油站基本情况</w:t>
      </w:r>
      <w:bookmarkEnd w:id="11"/>
      <w:bookmarkEnd w:id="12"/>
      <w:bookmarkEnd w:id="13"/>
      <w:bookmarkEnd w:id="14"/>
      <w:bookmarkEnd w:id="15"/>
      <w:bookmarkEnd w:id="16"/>
      <w:bookmarkEnd w:id="17"/>
      <w:bookmarkEnd w:id="18"/>
      <w:bookmarkEnd w:id="19"/>
      <w:bookmarkEnd w:id="20"/>
    </w:p>
    <w:p w14:paraId="080821E1">
      <w:pPr>
        <w:adjustRightInd w:val="0"/>
        <w:snapToGrid w:val="0"/>
        <w:spacing w:line="360" w:lineRule="auto"/>
        <w:ind w:firstLine="560" w:firstLineChars="200"/>
        <w:rPr>
          <w:rFonts w:ascii="宋体"/>
          <w:color w:val="auto"/>
        </w:rPr>
      </w:pPr>
      <w:r>
        <w:rPr>
          <w:rFonts w:hint="eastAsia" w:ascii="宋体" w:hAnsi="宋体"/>
          <w:color w:val="auto"/>
          <w:sz w:val="28"/>
          <w:szCs w:val="28"/>
        </w:rPr>
        <w:t>中国石化山东泰山石油股份有限公司</w:t>
      </w:r>
      <w:r>
        <w:rPr>
          <w:rFonts w:hint="eastAsia" w:ascii="宋体" w:hAnsi="宋体"/>
          <w:color w:val="auto"/>
          <w:sz w:val="28"/>
          <w:szCs w:val="28"/>
          <w:lang w:eastAsia="zh-CN"/>
        </w:rPr>
        <w:t>泰安第四十二加油站</w:t>
      </w:r>
      <w:r>
        <w:rPr>
          <w:rFonts w:hint="eastAsia" w:ascii="宋体" w:hAnsi="宋体"/>
          <w:color w:val="auto"/>
          <w:sz w:val="28"/>
          <w:szCs w:val="28"/>
        </w:rPr>
        <w:t>位于</w:t>
      </w:r>
      <w:r>
        <w:rPr>
          <w:rFonts w:hint="eastAsia" w:ascii="宋体" w:hAnsi="宋体"/>
          <w:color w:val="auto"/>
          <w:sz w:val="28"/>
          <w:lang w:eastAsia="zh-CN"/>
        </w:rPr>
        <w:t>泰安市岱岳区国土资源局对面泰山大街路南</w:t>
      </w:r>
      <w:r>
        <w:rPr>
          <w:rFonts w:hint="eastAsia" w:ascii="宋体" w:hAnsi="宋体"/>
          <w:color w:val="auto"/>
          <w:sz w:val="28"/>
        </w:rPr>
        <w:t>，</w:t>
      </w:r>
      <w:r>
        <w:rPr>
          <w:rFonts w:hint="eastAsia" w:ascii="宋体" w:hAnsi="宋体" w:cs="宋体"/>
          <w:color w:val="auto"/>
          <w:sz w:val="28"/>
          <w:szCs w:val="28"/>
          <w:lang w:eastAsia="zh-CN"/>
        </w:rPr>
        <w:t>加油站</w:t>
      </w:r>
      <w:r>
        <w:rPr>
          <w:rFonts w:hint="eastAsia" w:ascii="宋体" w:hAnsi="宋体" w:cs="宋体"/>
          <w:color w:val="auto"/>
          <w:sz w:val="28"/>
          <w:szCs w:val="28"/>
          <w:lang w:val="en-US" w:eastAsia="zh-CN"/>
        </w:rPr>
        <w:t>北</w:t>
      </w:r>
      <w:r>
        <w:rPr>
          <w:rFonts w:hint="eastAsia" w:ascii="宋体" w:hAnsi="宋体" w:cs="宋体"/>
          <w:color w:val="auto"/>
          <w:sz w:val="28"/>
          <w:szCs w:val="28"/>
          <w:lang w:eastAsia="zh-CN"/>
        </w:rPr>
        <w:t>侧是</w:t>
      </w:r>
      <w:r>
        <w:rPr>
          <w:rFonts w:hint="eastAsia" w:ascii="宋体" w:hAnsi="宋体" w:cs="宋体"/>
          <w:color w:val="auto"/>
          <w:sz w:val="28"/>
          <w:szCs w:val="28"/>
          <w:lang w:val="en-US" w:eastAsia="zh-CN"/>
        </w:rPr>
        <w:t>泰山大街，</w:t>
      </w:r>
      <w:r>
        <w:rPr>
          <w:rFonts w:hint="eastAsia" w:ascii="宋体" w:hAnsi="宋体" w:cs="宋体"/>
          <w:color w:val="auto"/>
          <w:sz w:val="28"/>
          <w:szCs w:val="28"/>
          <w:lang w:eastAsia="zh-CN"/>
        </w:rPr>
        <w:t>东侧是</w:t>
      </w:r>
      <w:r>
        <w:rPr>
          <w:rFonts w:hint="eastAsia" w:ascii="宋体" w:hAnsi="宋体" w:cs="宋体"/>
          <w:color w:val="auto"/>
          <w:sz w:val="28"/>
          <w:szCs w:val="28"/>
          <w:lang w:val="en-US" w:eastAsia="zh-CN"/>
        </w:rPr>
        <w:t>荣昌路</w:t>
      </w:r>
      <w:r>
        <w:rPr>
          <w:rFonts w:hint="eastAsia" w:ascii="宋体" w:hAnsi="宋体" w:cs="宋体"/>
          <w:color w:val="auto"/>
          <w:sz w:val="28"/>
          <w:szCs w:val="28"/>
          <w:lang w:eastAsia="zh-CN"/>
        </w:rPr>
        <w:t>，西侧是</w:t>
      </w:r>
      <w:r>
        <w:rPr>
          <w:rFonts w:hint="eastAsia" w:ascii="宋体" w:hAnsi="宋体" w:cs="宋体"/>
          <w:color w:val="auto"/>
          <w:sz w:val="28"/>
          <w:szCs w:val="28"/>
          <w:lang w:val="en-US" w:eastAsia="zh-CN"/>
        </w:rPr>
        <w:t>民房</w:t>
      </w:r>
      <w:r>
        <w:rPr>
          <w:rFonts w:hint="eastAsia" w:ascii="宋体" w:hAnsi="宋体" w:cs="宋体"/>
          <w:color w:val="auto"/>
          <w:sz w:val="28"/>
          <w:szCs w:val="28"/>
          <w:lang w:eastAsia="zh-CN"/>
        </w:rPr>
        <w:t>，南侧是</w:t>
      </w:r>
      <w:r>
        <w:rPr>
          <w:rFonts w:hint="eastAsia" w:ascii="宋体" w:hAnsi="宋体" w:cs="宋体"/>
          <w:color w:val="auto"/>
          <w:sz w:val="28"/>
          <w:szCs w:val="28"/>
          <w:lang w:val="en-US" w:eastAsia="zh-CN"/>
        </w:rPr>
        <w:t>民房</w:t>
      </w:r>
      <w:r>
        <w:rPr>
          <w:rFonts w:hint="eastAsia" w:ascii="宋体" w:hAnsi="宋体" w:cs="宋体"/>
          <w:color w:val="auto"/>
          <w:sz w:val="28"/>
          <w:szCs w:val="28"/>
        </w:rPr>
        <w:t>。</w:t>
      </w:r>
      <w:r>
        <w:rPr>
          <w:rFonts w:hint="eastAsia" w:ascii="宋体" w:hAnsi="宋体"/>
          <w:color w:val="auto"/>
          <w:sz w:val="28"/>
        </w:rPr>
        <w:t>该站经营许可范围为</w:t>
      </w:r>
      <w:r>
        <w:rPr>
          <w:rFonts w:hint="eastAsia" w:asciiTheme="minorEastAsia" w:hAnsiTheme="minorEastAsia" w:eastAsiaTheme="minorEastAsia" w:cstheme="minorEastAsia"/>
          <w:color w:val="auto"/>
          <w:sz w:val="28"/>
          <w:szCs w:val="28"/>
          <w:lang w:eastAsia="zh-CN"/>
        </w:rPr>
        <w:t>汽油、乙醇汽油</w:t>
      </w:r>
      <w:r>
        <w:rPr>
          <w:rFonts w:hint="eastAsia" w:ascii="宋体" w:hAnsi="宋体"/>
          <w:color w:val="auto"/>
          <w:sz w:val="28"/>
        </w:rPr>
        <w:t>、柴油，现其主要经营储存</w:t>
      </w:r>
      <w:r>
        <w:rPr>
          <w:rFonts w:hint="eastAsia" w:ascii="宋体" w:hAnsi="宋体"/>
          <w:color w:val="auto"/>
          <w:sz w:val="28"/>
          <w:lang w:eastAsia="zh-CN"/>
        </w:rPr>
        <w:t>汽油</w:t>
      </w:r>
      <w:r>
        <w:rPr>
          <w:rFonts w:hint="eastAsia" w:ascii="宋体" w:hAnsi="宋体"/>
          <w:color w:val="auto"/>
          <w:sz w:val="28"/>
        </w:rPr>
        <w:t>、0#柴油（换季销售-</w:t>
      </w:r>
      <w:r>
        <w:rPr>
          <w:rFonts w:ascii="宋体" w:hAnsi="宋体"/>
          <w:color w:val="auto"/>
          <w:sz w:val="28"/>
        </w:rPr>
        <w:t>10#</w:t>
      </w:r>
      <w:r>
        <w:rPr>
          <w:rFonts w:hint="eastAsia" w:ascii="宋体" w:hAnsi="宋体"/>
          <w:color w:val="auto"/>
          <w:sz w:val="28"/>
        </w:rPr>
        <w:t>柴油）</w:t>
      </w:r>
      <w:r>
        <w:rPr>
          <w:rFonts w:hint="eastAsia" w:ascii="宋体" w:hAnsi="宋体"/>
          <w:color w:val="auto"/>
          <w:sz w:val="28"/>
          <w:lang w:eastAsia="zh-CN"/>
        </w:rPr>
        <w:t>、乙醇汽油（</w:t>
      </w:r>
      <w:r>
        <w:rPr>
          <w:rFonts w:hint="eastAsia" w:ascii="宋体" w:hAnsi="宋体"/>
          <w:color w:val="auto"/>
          <w:sz w:val="28"/>
          <w:lang w:val="en-US" w:eastAsia="zh-CN"/>
        </w:rPr>
        <w:t>暂未储存</w:t>
      </w:r>
      <w:r>
        <w:rPr>
          <w:rFonts w:hint="eastAsia" w:ascii="宋体" w:hAnsi="宋体"/>
          <w:color w:val="auto"/>
          <w:sz w:val="28"/>
          <w:lang w:eastAsia="zh-CN"/>
        </w:rPr>
        <w:t>）</w:t>
      </w:r>
      <w:r>
        <w:rPr>
          <w:rFonts w:hint="eastAsia" w:ascii="宋体" w:hAnsi="宋体"/>
          <w:snapToGrid w:val="0"/>
          <w:color w:val="auto"/>
          <w:kern w:val="0"/>
          <w:sz w:val="28"/>
        </w:rPr>
        <w:t>。</w:t>
      </w:r>
      <w:r>
        <w:rPr>
          <w:rFonts w:hint="eastAsia" w:ascii="宋体" w:hAnsi="宋体"/>
          <w:color w:val="auto"/>
          <w:sz w:val="28"/>
        </w:rPr>
        <w:t>此次现状评价报告与三年前报告相比，</w:t>
      </w:r>
      <w:r>
        <w:rPr>
          <w:rFonts w:hint="eastAsia" w:ascii="宋体" w:hAnsi="宋体"/>
          <w:color w:val="auto"/>
          <w:sz w:val="28"/>
          <w:lang w:val="en-US" w:eastAsia="zh-CN"/>
        </w:rPr>
        <w:t>增加3套可燃气体探测器，其余</w:t>
      </w:r>
      <w:r>
        <w:rPr>
          <w:rFonts w:hint="eastAsia" w:ascii="宋体" w:hAnsi="宋体"/>
          <w:color w:val="auto"/>
          <w:sz w:val="28"/>
        </w:rPr>
        <w:t>周边环境、站内设备设施、主要建构筑物未发生变化。</w:t>
      </w:r>
    </w:p>
    <w:p w14:paraId="2607D925">
      <w:pPr>
        <w:pStyle w:val="17"/>
        <w:widowControl w:val="0"/>
        <w:adjustRightInd w:val="0"/>
        <w:snapToGrid w:val="0"/>
        <w:spacing w:line="360" w:lineRule="auto"/>
        <w:ind w:firstLine="560"/>
        <w:rPr>
          <w:rFonts w:ascii="宋体"/>
          <w:color w:val="auto"/>
          <w:vertAlign w:val="superscript"/>
        </w:rPr>
      </w:pPr>
      <w:r>
        <w:rPr>
          <w:rFonts w:hint="eastAsia" w:ascii="宋体" w:hAnsi="宋体"/>
          <w:color w:val="auto"/>
          <w:szCs w:val="28"/>
        </w:rPr>
        <w:t>该加油站主要建有站房、罩棚、油罐区、加油区等。加油区在站房</w:t>
      </w:r>
      <w:r>
        <w:rPr>
          <w:rFonts w:hint="eastAsia" w:ascii="宋体" w:hAnsi="宋体"/>
          <w:color w:val="auto"/>
          <w:szCs w:val="28"/>
          <w:lang w:val="en-US" w:eastAsia="zh-CN"/>
        </w:rPr>
        <w:t>北</w:t>
      </w:r>
      <w:r>
        <w:rPr>
          <w:rFonts w:hint="eastAsia" w:ascii="宋体" w:hAnsi="宋体"/>
          <w:color w:val="auto"/>
          <w:szCs w:val="28"/>
        </w:rPr>
        <w:t>侧，</w:t>
      </w:r>
      <w:r>
        <w:rPr>
          <w:rFonts w:hint="eastAsia" w:ascii="宋体" w:hAnsi="宋体"/>
          <w:color w:val="auto"/>
          <w:kern w:val="2"/>
          <w:szCs w:val="21"/>
        </w:rPr>
        <w:t>现有</w:t>
      </w:r>
      <w:r>
        <w:rPr>
          <w:rFonts w:hint="eastAsia" w:ascii="宋体" w:hAnsi="宋体"/>
          <w:color w:val="auto"/>
          <w:kern w:val="2"/>
          <w:szCs w:val="21"/>
          <w:lang w:val="en-US" w:eastAsia="zh-CN"/>
        </w:rPr>
        <w:t>4</w:t>
      </w:r>
      <w:r>
        <w:rPr>
          <w:rFonts w:hint="eastAsia" w:ascii="宋体" w:hAnsi="宋体"/>
          <w:color w:val="auto"/>
          <w:kern w:val="2"/>
          <w:szCs w:val="21"/>
        </w:rPr>
        <w:t>台单枪加油机，</w:t>
      </w:r>
      <w:r>
        <w:rPr>
          <w:rFonts w:hint="eastAsia" w:ascii="宋体" w:hAnsi="宋体"/>
          <w:color w:val="auto"/>
          <w:kern w:val="2"/>
          <w:szCs w:val="21"/>
          <w:lang w:val="en-US" w:eastAsia="zh-CN"/>
        </w:rPr>
        <w:t>1</w:t>
      </w:r>
      <w:r>
        <w:rPr>
          <w:rFonts w:hint="eastAsia" w:ascii="宋体" w:hAnsi="宋体"/>
          <w:color w:val="auto"/>
          <w:kern w:val="2"/>
          <w:szCs w:val="21"/>
        </w:rPr>
        <w:t>台</w:t>
      </w:r>
      <w:r>
        <w:rPr>
          <w:rFonts w:hint="eastAsia" w:ascii="宋体" w:hAnsi="宋体"/>
          <w:color w:val="auto"/>
          <w:kern w:val="2"/>
          <w:szCs w:val="21"/>
          <w:lang w:val="en-US" w:eastAsia="zh-CN"/>
        </w:rPr>
        <w:t>双</w:t>
      </w:r>
      <w:r>
        <w:rPr>
          <w:rFonts w:hint="eastAsia" w:ascii="宋体" w:hAnsi="宋体"/>
          <w:color w:val="auto"/>
          <w:kern w:val="2"/>
          <w:szCs w:val="21"/>
        </w:rPr>
        <w:t>枪加油机，均为自吸式</w:t>
      </w:r>
      <w:r>
        <w:rPr>
          <w:rFonts w:hint="eastAsia" w:ascii="宋体"/>
          <w:color w:val="auto"/>
        </w:rPr>
        <w:t>；</w:t>
      </w:r>
      <w:r>
        <w:rPr>
          <w:rFonts w:hint="eastAsia" w:ascii="宋体" w:hAnsi="宋体"/>
          <w:color w:val="auto"/>
          <w:szCs w:val="28"/>
        </w:rPr>
        <w:t>油罐区位于</w:t>
      </w:r>
      <w:r>
        <w:rPr>
          <w:rFonts w:hint="eastAsia" w:ascii="宋体" w:hAnsi="宋体"/>
          <w:color w:val="auto"/>
          <w:szCs w:val="28"/>
          <w:lang w:val="en-US" w:eastAsia="zh-CN"/>
        </w:rPr>
        <w:t>加油区北</w:t>
      </w:r>
      <w:r>
        <w:rPr>
          <w:rFonts w:hint="eastAsia" w:ascii="宋体" w:hAnsi="宋体"/>
          <w:color w:val="auto"/>
          <w:szCs w:val="28"/>
        </w:rPr>
        <w:t>侧，</w:t>
      </w:r>
      <w:r>
        <w:rPr>
          <w:rFonts w:hint="eastAsia" w:ascii="宋体"/>
          <w:color w:val="auto"/>
        </w:rPr>
        <w:t>现有</w:t>
      </w:r>
      <w:r>
        <w:rPr>
          <w:rFonts w:hint="eastAsia" w:ascii="宋体"/>
          <w:color w:val="auto"/>
          <w:lang w:val="en-US" w:eastAsia="zh-CN"/>
        </w:rPr>
        <w:t>4</w:t>
      </w:r>
      <w:r>
        <w:rPr>
          <w:rFonts w:hint="eastAsia" w:ascii="宋体"/>
          <w:color w:val="auto"/>
        </w:rPr>
        <w:t>台</w:t>
      </w:r>
      <w:r>
        <w:rPr>
          <w:rFonts w:hint="eastAsia" w:ascii="宋体"/>
          <w:color w:val="auto"/>
          <w:lang w:val="en-US" w:eastAsia="zh-CN"/>
        </w:rPr>
        <w:t>3</w:t>
      </w:r>
      <w:r>
        <w:rPr>
          <w:rFonts w:hint="eastAsia" w:ascii="宋体"/>
          <w:color w:val="auto"/>
        </w:rPr>
        <w:t>0m³埋地双层储罐（1台92#</w:t>
      </w:r>
      <w:r>
        <w:rPr>
          <w:rFonts w:hint="eastAsia" w:ascii="宋体"/>
          <w:color w:val="auto"/>
          <w:lang w:eastAsia="zh-CN"/>
        </w:rPr>
        <w:t>汽油</w:t>
      </w:r>
      <w:r>
        <w:rPr>
          <w:rFonts w:hint="eastAsia" w:ascii="宋体"/>
          <w:color w:val="auto"/>
        </w:rPr>
        <w:t>罐、1台95#</w:t>
      </w:r>
      <w:r>
        <w:rPr>
          <w:rFonts w:hint="eastAsia" w:ascii="宋体"/>
          <w:color w:val="auto"/>
          <w:lang w:eastAsia="zh-CN"/>
        </w:rPr>
        <w:t>汽油</w:t>
      </w:r>
      <w:r>
        <w:rPr>
          <w:rFonts w:hint="eastAsia" w:ascii="宋体"/>
          <w:color w:val="auto"/>
          <w:lang w:val="en-US" w:eastAsia="zh-CN"/>
        </w:rPr>
        <w:t>罐</w:t>
      </w:r>
      <w:r>
        <w:rPr>
          <w:rFonts w:hint="eastAsia" w:ascii="宋体"/>
          <w:color w:val="auto"/>
          <w:lang w:eastAsia="zh-CN"/>
        </w:rPr>
        <w:t>、</w:t>
      </w:r>
      <w:r>
        <w:rPr>
          <w:rFonts w:hint="eastAsia" w:ascii="宋体"/>
          <w:color w:val="auto"/>
        </w:rPr>
        <w:t>1台</w:t>
      </w:r>
      <w:r>
        <w:rPr>
          <w:rFonts w:hint="eastAsia" w:ascii="宋体"/>
          <w:color w:val="auto"/>
          <w:lang w:val="en-US" w:eastAsia="zh-CN"/>
        </w:rPr>
        <w:t>98</w:t>
      </w:r>
      <w:r>
        <w:rPr>
          <w:rFonts w:hint="eastAsia" w:ascii="宋体"/>
          <w:color w:val="auto"/>
        </w:rPr>
        <w:t>#</w:t>
      </w:r>
      <w:r>
        <w:rPr>
          <w:rFonts w:hint="eastAsia" w:ascii="宋体"/>
          <w:color w:val="auto"/>
          <w:lang w:eastAsia="zh-CN"/>
        </w:rPr>
        <w:t>汽油</w:t>
      </w:r>
      <w:r>
        <w:rPr>
          <w:rFonts w:hint="eastAsia" w:ascii="宋体"/>
          <w:color w:val="auto"/>
          <w:lang w:val="en-US" w:eastAsia="zh-CN"/>
        </w:rPr>
        <w:t>罐</w:t>
      </w:r>
      <w:r>
        <w:rPr>
          <w:rFonts w:hint="eastAsia" w:ascii="宋体"/>
          <w:color w:val="auto"/>
          <w:lang w:eastAsia="zh-CN"/>
        </w:rPr>
        <w:t>、</w:t>
      </w:r>
      <w:r>
        <w:rPr>
          <w:rFonts w:hint="eastAsia" w:ascii="宋体"/>
          <w:color w:val="auto"/>
          <w:lang w:val="en-US" w:eastAsia="zh-CN"/>
        </w:rPr>
        <w:t>1</w:t>
      </w:r>
      <w:r>
        <w:rPr>
          <w:rFonts w:hint="eastAsia" w:ascii="宋体"/>
          <w:color w:val="auto"/>
        </w:rPr>
        <w:t>台柴油罐），</w:t>
      </w:r>
      <w:r>
        <w:rPr>
          <w:rFonts w:hint="eastAsia" w:ascii="宋体" w:hAnsi="宋体"/>
          <w:color w:val="auto"/>
          <w:szCs w:val="28"/>
          <w:lang w:val="en-US" w:eastAsia="zh-CN"/>
        </w:rPr>
        <w:t>4</w:t>
      </w:r>
      <w:r>
        <w:rPr>
          <w:rFonts w:hint="eastAsia" w:ascii="宋体" w:hAnsi="宋体"/>
          <w:color w:val="auto"/>
          <w:szCs w:val="28"/>
        </w:rPr>
        <w:t>台油罐均安装了液位仪、检漏仪</w:t>
      </w:r>
      <w:r>
        <w:rPr>
          <w:rFonts w:hint="eastAsia" w:ascii="宋体"/>
          <w:color w:val="auto"/>
        </w:rPr>
        <w:t>；</w:t>
      </w:r>
      <w:r>
        <w:rPr>
          <w:rFonts w:hint="eastAsia" w:ascii="宋体"/>
          <w:color w:val="auto"/>
          <w:lang w:eastAsia="zh-CN"/>
        </w:rPr>
        <w:t>汽油、</w:t>
      </w:r>
      <w:r>
        <w:rPr>
          <w:rFonts w:hint="eastAsia" w:ascii="宋体"/>
          <w:color w:val="auto"/>
        </w:rPr>
        <w:t>柴油卸油口位于罐区</w:t>
      </w:r>
      <w:r>
        <w:rPr>
          <w:rFonts w:hint="eastAsia" w:ascii="宋体"/>
          <w:color w:val="auto"/>
          <w:lang w:val="en-US" w:eastAsia="zh-CN"/>
        </w:rPr>
        <w:t>南</w:t>
      </w:r>
      <w:r>
        <w:rPr>
          <w:rFonts w:hint="eastAsia" w:ascii="宋体"/>
          <w:color w:val="auto"/>
        </w:rPr>
        <w:t>侧；</w:t>
      </w:r>
      <w:r>
        <w:rPr>
          <w:rFonts w:hint="eastAsia" w:ascii="宋体" w:hAnsi="宋体"/>
          <w:color w:val="auto"/>
          <w:szCs w:val="28"/>
        </w:rPr>
        <w:t>通气管4根</w:t>
      </w:r>
      <w:r>
        <w:rPr>
          <w:rFonts w:hint="eastAsia" w:ascii="宋体" w:hAnsi="宋体"/>
          <w:color w:val="auto"/>
          <w:szCs w:val="28"/>
          <w:lang w:val="en-US" w:eastAsia="zh-CN"/>
        </w:rPr>
        <w:t>位于罐区北侧</w:t>
      </w:r>
      <w:r>
        <w:rPr>
          <w:rFonts w:hint="eastAsia" w:ascii="宋体" w:hAnsi="宋体"/>
          <w:color w:val="auto"/>
          <w:szCs w:val="28"/>
        </w:rPr>
        <w:t>，该站设有卸油油气回收系统、加油油气回收系统</w:t>
      </w:r>
      <w:r>
        <w:rPr>
          <w:rFonts w:hint="eastAsia" w:ascii="宋体" w:hAnsi="宋体"/>
          <w:color w:val="auto"/>
          <w:szCs w:val="28"/>
          <w:lang w:eastAsia="zh-CN"/>
        </w:rPr>
        <w:t>、</w:t>
      </w:r>
      <w:r>
        <w:rPr>
          <w:rFonts w:hint="eastAsia" w:ascii="宋体" w:hAnsi="宋体"/>
          <w:color w:val="auto"/>
          <w:szCs w:val="28"/>
          <w:lang w:val="en-US" w:eastAsia="zh-CN"/>
        </w:rPr>
        <w:t>油气回收处理装置</w:t>
      </w:r>
      <w:r>
        <w:rPr>
          <w:rFonts w:hint="eastAsia" w:ascii="宋体" w:hAnsi="宋体"/>
          <w:color w:val="auto"/>
          <w:szCs w:val="28"/>
        </w:rPr>
        <w:t>；</w:t>
      </w:r>
      <w:r>
        <w:rPr>
          <w:rFonts w:hint="eastAsia" w:ascii="宋体"/>
          <w:color w:val="auto"/>
        </w:rPr>
        <w:t>按《汽车加油加气加氢站技术标准》GB50156-2021标准规定：油罐总储量为</w:t>
      </w:r>
      <w:r>
        <w:rPr>
          <w:rFonts w:hint="eastAsia" w:ascii="宋体"/>
          <w:color w:val="auto"/>
          <w:lang w:val="en-US" w:eastAsia="zh-CN"/>
        </w:rPr>
        <w:t>120</w:t>
      </w:r>
      <w:r>
        <w:rPr>
          <w:rFonts w:hint="eastAsia" w:ascii="宋体"/>
          <w:color w:val="auto"/>
        </w:rPr>
        <w:t>m³，柴油储罐容积折半计入总容积为</w:t>
      </w:r>
      <w:r>
        <w:rPr>
          <w:rFonts w:hint="eastAsia" w:ascii="宋体"/>
          <w:color w:val="auto"/>
          <w:lang w:val="en-US" w:eastAsia="zh-CN"/>
        </w:rPr>
        <w:t>105</w:t>
      </w:r>
      <w:r>
        <w:rPr>
          <w:rFonts w:hint="eastAsia" w:ascii="宋体"/>
          <w:color w:val="auto"/>
        </w:rPr>
        <w:t>m³，该站属</w:t>
      </w:r>
      <w:r>
        <w:rPr>
          <w:rFonts w:hint="eastAsia" w:ascii="宋体"/>
          <w:color w:val="auto"/>
          <w:lang w:val="en-US" w:eastAsia="zh-CN"/>
        </w:rPr>
        <w:t>二</w:t>
      </w:r>
      <w:r>
        <w:rPr>
          <w:rFonts w:hint="eastAsia" w:ascii="宋体"/>
          <w:color w:val="auto"/>
        </w:rPr>
        <w:t>级加油站。</w:t>
      </w:r>
    </w:p>
    <w:p w14:paraId="214C889B">
      <w:pPr>
        <w:pStyle w:val="19"/>
        <w:widowControl w:val="0"/>
        <w:adjustRightInd w:val="0"/>
        <w:snapToGrid w:val="0"/>
        <w:spacing w:line="360" w:lineRule="auto"/>
        <w:outlineLvl w:val="9"/>
        <w:rPr>
          <w:color w:val="auto"/>
        </w:rPr>
      </w:pPr>
      <w:r>
        <w:rPr>
          <w:color w:val="auto"/>
        </w:rPr>
        <w:t>表</w:t>
      </w:r>
      <w:r>
        <w:rPr>
          <w:rFonts w:ascii="黑体" w:hAnsi="黑体"/>
          <w:color w:val="auto"/>
        </w:rPr>
        <w:t xml:space="preserve">2.1-1 </w:t>
      </w:r>
      <w:r>
        <w:rPr>
          <w:color w:val="auto"/>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14:paraId="184F7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70A850AF">
            <w:pPr>
              <w:pStyle w:val="20"/>
              <w:widowControl w:val="0"/>
              <w:adjustRightInd w:val="0"/>
              <w:snapToGrid w:val="0"/>
              <w:spacing w:line="360" w:lineRule="auto"/>
              <w:rPr>
                <w:rFonts w:ascii="宋体" w:hAnsi="宋体"/>
                <w:b/>
                <w:bCs/>
                <w:color w:val="auto"/>
              </w:rPr>
            </w:pPr>
            <w:r>
              <w:rPr>
                <w:rFonts w:ascii="宋体" w:hAnsi="宋体"/>
                <w:b/>
                <w:bCs/>
                <w:color w:val="auto"/>
              </w:rPr>
              <w:t>加油站</w:t>
            </w:r>
            <w:r>
              <w:rPr>
                <w:rFonts w:hint="eastAsia" w:ascii="宋体" w:hAnsi="宋体"/>
                <w:b/>
                <w:bCs/>
                <w:color w:val="auto"/>
              </w:rPr>
              <w:t>等级</w:t>
            </w:r>
          </w:p>
        </w:tc>
        <w:tc>
          <w:tcPr>
            <w:tcW w:w="3338" w:type="pct"/>
            <w:gridSpan w:val="2"/>
            <w:vAlign w:val="center"/>
          </w:tcPr>
          <w:p w14:paraId="75FAA68E">
            <w:pPr>
              <w:pStyle w:val="20"/>
              <w:widowControl w:val="0"/>
              <w:adjustRightInd w:val="0"/>
              <w:snapToGrid w:val="0"/>
              <w:spacing w:line="360" w:lineRule="auto"/>
              <w:rPr>
                <w:rFonts w:ascii="宋体" w:hAnsi="宋体"/>
                <w:b/>
                <w:bCs/>
                <w:color w:val="auto"/>
              </w:rPr>
            </w:pPr>
            <w:r>
              <w:rPr>
                <w:rFonts w:ascii="宋体" w:hAnsi="宋体"/>
                <w:b/>
                <w:bCs/>
                <w:color w:val="auto"/>
              </w:rPr>
              <w:t>加油站油罐容积（m</w:t>
            </w:r>
            <w:r>
              <w:rPr>
                <w:rFonts w:ascii="宋体" w:hAnsi="宋体"/>
                <w:b/>
                <w:bCs/>
                <w:color w:val="auto"/>
                <w:vertAlign w:val="superscript"/>
              </w:rPr>
              <w:t>3</w:t>
            </w:r>
            <w:r>
              <w:rPr>
                <w:rFonts w:ascii="宋体" w:hAnsi="宋体"/>
                <w:b/>
                <w:bCs/>
                <w:color w:val="auto"/>
              </w:rPr>
              <w:t>）</w:t>
            </w:r>
          </w:p>
        </w:tc>
      </w:tr>
      <w:tr w14:paraId="06875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6A81075D">
            <w:pPr>
              <w:pStyle w:val="20"/>
              <w:widowControl w:val="0"/>
              <w:adjustRightInd w:val="0"/>
              <w:snapToGrid w:val="0"/>
              <w:spacing w:line="360" w:lineRule="auto"/>
              <w:rPr>
                <w:rFonts w:ascii="宋体" w:hAnsi="宋体"/>
                <w:b/>
                <w:bCs/>
                <w:color w:val="auto"/>
              </w:rPr>
            </w:pPr>
          </w:p>
        </w:tc>
        <w:tc>
          <w:tcPr>
            <w:tcW w:w="1667" w:type="pct"/>
            <w:vAlign w:val="center"/>
          </w:tcPr>
          <w:p w14:paraId="1E309C30">
            <w:pPr>
              <w:pStyle w:val="20"/>
              <w:widowControl w:val="0"/>
              <w:adjustRightInd w:val="0"/>
              <w:snapToGrid w:val="0"/>
              <w:spacing w:line="360" w:lineRule="auto"/>
              <w:rPr>
                <w:rFonts w:ascii="宋体" w:hAnsi="宋体"/>
                <w:b/>
                <w:bCs/>
                <w:color w:val="auto"/>
              </w:rPr>
            </w:pPr>
            <w:r>
              <w:rPr>
                <w:rFonts w:ascii="宋体" w:hAnsi="宋体"/>
                <w:b/>
                <w:bCs/>
                <w:color w:val="auto"/>
              </w:rPr>
              <w:t>总容积</w:t>
            </w:r>
            <w:r>
              <w:rPr>
                <w:rFonts w:hint="eastAsia" w:ascii="宋体" w:hAnsi="宋体"/>
                <w:b/>
                <w:bCs/>
                <w:color w:val="auto"/>
              </w:rPr>
              <w:t>V</w:t>
            </w:r>
          </w:p>
        </w:tc>
        <w:tc>
          <w:tcPr>
            <w:tcW w:w="1671" w:type="pct"/>
            <w:vAlign w:val="center"/>
          </w:tcPr>
          <w:p w14:paraId="20125DEA">
            <w:pPr>
              <w:pStyle w:val="20"/>
              <w:widowControl w:val="0"/>
              <w:adjustRightInd w:val="0"/>
              <w:snapToGrid w:val="0"/>
              <w:spacing w:line="360" w:lineRule="auto"/>
              <w:rPr>
                <w:rFonts w:ascii="宋体" w:hAnsi="宋体"/>
                <w:b/>
                <w:bCs/>
                <w:color w:val="auto"/>
              </w:rPr>
            </w:pPr>
            <w:r>
              <w:rPr>
                <w:rFonts w:ascii="宋体" w:hAnsi="宋体"/>
                <w:b/>
                <w:bCs/>
                <w:color w:val="auto"/>
              </w:rPr>
              <w:t>单罐容积</w:t>
            </w:r>
          </w:p>
        </w:tc>
      </w:tr>
      <w:tr w14:paraId="48BBE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3D4BAD2E">
            <w:pPr>
              <w:pStyle w:val="20"/>
              <w:widowControl w:val="0"/>
              <w:adjustRightInd w:val="0"/>
              <w:snapToGrid w:val="0"/>
              <w:spacing w:line="360" w:lineRule="auto"/>
              <w:rPr>
                <w:rFonts w:ascii="宋体" w:hAnsi="宋体"/>
                <w:color w:val="auto"/>
              </w:rPr>
            </w:pPr>
            <w:r>
              <w:rPr>
                <w:rFonts w:ascii="宋体" w:hAnsi="宋体"/>
                <w:color w:val="auto"/>
              </w:rPr>
              <w:t>一级</w:t>
            </w:r>
          </w:p>
        </w:tc>
        <w:tc>
          <w:tcPr>
            <w:tcW w:w="1667" w:type="pct"/>
            <w:vAlign w:val="center"/>
          </w:tcPr>
          <w:p w14:paraId="2B442799">
            <w:pPr>
              <w:pStyle w:val="20"/>
              <w:widowControl w:val="0"/>
              <w:adjustRightInd w:val="0"/>
              <w:snapToGrid w:val="0"/>
              <w:spacing w:line="360" w:lineRule="auto"/>
              <w:rPr>
                <w:rFonts w:ascii="宋体" w:hAnsi="宋体"/>
                <w:color w:val="auto"/>
              </w:rPr>
            </w:pPr>
            <w:r>
              <w:rPr>
                <w:rFonts w:ascii="宋体" w:hAnsi="宋体"/>
                <w:color w:val="auto"/>
              </w:rPr>
              <w:t>150＜V</w:t>
            </w:r>
            <w:r>
              <w:rPr>
                <w:rFonts w:hint="eastAsia" w:ascii="宋体" w:hAnsi="宋体"/>
                <w:color w:val="auto"/>
              </w:rPr>
              <w:t>≤</w:t>
            </w:r>
            <w:r>
              <w:rPr>
                <w:rFonts w:ascii="宋体" w:hAnsi="宋体"/>
                <w:color w:val="auto"/>
              </w:rPr>
              <w:t>210</w:t>
            </w:r>
          </w:p>
        </w:tc>
        <w:tc>
          <w:tcPr>
            <w:tcW w:w="1671" w:type="pct"/>
            <w:vAlign w:val="center"/>
          </w:tcPr>
          <w:p w14:paraId="4F880A4C">
            <w:pPr>
              <w:pStyle w:val="20"/>
              <w:widowControl w:val="0"/>
              <w:adjustRightInd w:val="0"/>
              <w:snapToGrid w:val="0"/>
              <w:spacing w:line="360" w:lineRule="auto"/>
              <w:rPr>
                <w:rFonts w:ascii="宋体" w:hAnsi="宋体"/>
                <w:color w:val="auto"/>
              </w:rPr>
            </w:pPr>
            <w:r>
              <w:rPr>
                <w:rFonts w:hint="eastAsia" w:ascii="宋体" w:hAnsi="宋体"/>
                <w:color w:val="auto"/>
              </w:rPr>
              <w:t>≤</w:t>
            </w:r>
            <w:r>
              <w:rPr>
                <w:rFonts w:ascii="宋体" w:hAnsi="宋体"/>
                <w:color w:val="auto"/>
              </w:rPr>
              <w:t>50</w:t>
            </w:r>
          </w:p>
        </w:tc>
      </w:tr>
      <w:tr w14:paraId="08F0F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551B2A14">
            <w:pPr>
              <w:pStyle w:val="20"/>
              <w:widowControl w:val="0"/>
              <w:adjustRightInd w:val="0"/>
              <w:snapToGrid w:val="0"/>
              <w:spacing w:line="360" w:lineRule="auto"/>
              <w:rPr>
                <w:rFonts w:ascii="宋体" w:hAnsi="宋体"/>
                <w:color w:val="auto"/>
              </w:rPr>
            </w:pPr>
            <w:r>
              <w:rPr>
                <w:rFonts w:ascii="宋体" w:hAnsi="宋体"/>
                <w:color w:val="auto"/>
              </w:rPr>
              <w:t>二级</w:t>
            </w:r>
          </w:p>
        </w:tc>
        <w:tc>
          <w:tcPr>
            <w:tcW w:w="1667" w:type="pct"/>
            <w:vAlign w:val="center"/>
          </w:tcPr>
          <w:p w14:paraId="23E56579">
            <w:pPr>
              <w:pStyle w:val="20"/>
              <w:widowControl w:val="0"/>
              <w:adjustRightInd w:val="0"/>
              <w:snapToGrid w:val="0"/>
              <w:spacing w:line="360" w:lineRule="auto"/>
              <w:rPr>
                <w:rFonts w:ascii="宋体" w:hAnsi="宋体"/>
                <w:color w:val="auto"/>
              </w:rPr>
            </w:pPr>
            <w:r>
              <w:rPr>
                <w:rFonts w:ascii="宋体" w:hAnsi="宋体"/>
                <w:color w:val="auto"/>
              </w:rPr>
              <w:t>90</w:t>
            </w:r>
            <w:r>
              <w:rPr>
                <w:rFonts w:hint="eastAsia" w:ascii="宋体" w:hAnsi="宋体"/>
                <w:color w:val="auto"/>
              </w:rPr>
              <w:t>＜</w:t>
            </w:r>
            <w:r>
              <w:rPr>
                <w:rFonts w:ascii="宋体" w:hAnsi="宋体"/>
                <w:color w:val="auto"/>
              </w:rPr>
              <w:t>V</w:t>
            </w:r>
            <w:r>
              <w:rPr>
                <w:rFonts w:hint="eastAsia" w:ascii="宋体" w:hAnsi="宋体"/>
                <w:color w:val="auto"/>
              </w:rPr>
              <w:t>≤</w:t>
            </w:r>
            <w:r>
              <w:rPr>
                <w:rFonts w:ascii="宋体" w:hAnsi="宋体"/>
                <w:color w:val="auto"/>
              </w:rPr>
              <w:t>150</w:t>
            </w:r>
          </w:p>
        </w:tc>
        <w:tc>
          <w:tcPr>
            <w:tcW w:w="1671" w:type="pct"/>
            <w:vAlign w:val="center"/>
          </w:tcPr>
          <w:p w14:paraId="1457B3B1">
            <w:pPr>
              <w:pStyle w:val="20"/>
              <w:widowControl w:val="0"/>
              <w:adjustRightInd w:val="0"/>
              <w:snapToGrid w:val="0"/>
              <w:spacing w:line="360" w:lineRule="auto"/>
              <w:rPr>
                <w:rFonts w:ascii="宋体" w:hAnsi="宋体"/>
                <w:color w:val="auto"/>
              </w:rPr>
            </w:pPr>
            <w:r>
              <w:rPr>
                <w:rFonts w:hint="eastAsia" w:ascii="宋体" w:hAnsi="宋体"/>
                <w:color w:val="auto"/>
              </w:rPr>
              <w:t>≤</w:t>
            </w:r>
            <w:r>
              <w:rPr>
                <w:rFonts w:ascii="宋体" w:hAnsi="宋体"/>
                <w:color w:val="auto"/>
              </w:rPr>
              <w:t>50</w:t>
            </w:r>
          </w:p>
        </w:tc>
      </w:tr>
      <w:tr w14:paraId="02701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197224C0">
            <w:pPr>
              <w:pStyle w:val="20"/>
              <w:widowControl w:val="0"/>
              <w:adjustRightInd w:val="0"/>
              <w:snapToGrid w:val="0"/>
              <w:spacing w:line="360" w:lineRule="auto"/>
              <w:rPr>
                <w:rFonts w:ascii="宋体" w:hAnsi="宋体"/>
                <w:color w:val="auto"/>
              </w:rPr>
            </w:pPr>
            <w:r>
              <w:rPr>
                <w:rFonts w:ascii="宋体" w:hAnsi="宋体"/>
                <w:color w:val="auto"/>
              </w:rPr>
              <w:t>三级</w:t>
            </w:r>
          </w:p>
        </w:tc>
        <w:tc>
          <w:tcPr>
            <w:tcW w:w="1667" w:type="pct"/>
            <w:vAlign w:val="center"/>
          </w:tcPr>
          <w:p w14:paraId="74EB9B61">
            <w:pPr>
              <w:pStyle w:val="20"/>
              <w:widowControl w:val="0"/>
              <w:adjustRightInd w:val="0"/>
              <w:snapToGrid w:val="0"/>
              <w:spacing w:line="360" w:lineRule="auto"/>
              <w:rPr>
                <w:rFonts w:ascii="宋体" w:hAnsi="宋体"/>
                <w:color w:val="auto"/>
              </w:rPr>
            </w:pPr>
            <w:r>
              <w:rPr>
                <w:rFonts w:ascii="宋体" w:hAnsi="宋体"/>
                <w:color w:val="auto"/>
              </w:rPr>
              <w:t>V</w:t>
            </w:r>
            <w:r>
              <w:rPr>
                <w:rFonts w:hint="eastAsia" w:ascii="宋体" w:hAnsi="宋体"/>
                <w:color w:val="auto"/>
              </w:rPr>
              <w:t>≤</w:t>
            </w:r>
            <w:r>
              <w:rPr>
                <w:rFonts w:ascii="宋体" w:hAnsi="宋体"/>
                <w:color w:val="auto"/>
              </w:rPr>
              <w:t>90</w:t>
            </w:r>
          </w:p>
        </w:tc>
        <w:tc>
          <w:tcPr>
            <w:tcW w:w="1671" w:type="pct"/>
            <w:vAlign w:val="center"/>
          </w:tcPr>
          <w:p w14:paraId="390CC737">
            <w:pPr>
              <w:pStyle w:val="20"/>
              <w:widowControl w:val="0"/>
              <w:adjustRightInd w:val="0"/>
              <w:snapToGrid w:val="0"/>
              <w:spacing w:line="360" w:lineRule="auto"/>
              <w:rPr>
                <w:rFonts w:ascii="宋体" w:hAnsi="宋体"/>
                <w:color w:val="auto"/>
              </w:rPr>
            </w:pPr>
            <w:r>
              <w:rPr>
                <w:rFonts w:hint="eastAsia" w:ascii="宋体" w:hAnsi="宋体"/>
                <w:color w:val="auto"/>
              </w:rPr>
              <w:t>汽油</w:t>
            </w:r>
            <w:r>
              <w:rPr>
                <w:rFonts w:ascii="宋体" w:hAnsi="宋体"/>
                <w:color w:val="auto"/>
              </w:rPr>
              <w:t>罐</w:t>
            </w:r>
            <w:r>
              <w:rPr>
                <w:rFonts w:hint="eastAsia" w:ascii="宋体" w:hAnsi="宋体"/>
                <w:color w:val="auto"/>
              </w:rPr>
              <w:t>≤</w:t>
            </w:r>
            <w:r>
              <w:rPr>
                <w:rFonts w:ascii="宋体" w:hAnsi="宋体"/>
                <w:color w:val="auto"/>
              </w:rPr>
              <w:t>30，柴油罐</w:t>
            </w:r>
            <w:r>
              <w:rPr>
                <w:rFonts w:hint="eastAsia" w:ascii="宋体" w:hAnsi="宋体"/>
                <w:color w:val="auto"/>
              </w:rPr>
              <w:t>≤</w:t>
            </w:r>
            <w:r>
              <w:rPr>
                <w:rFonts w:ascii="宋体" w:hAnsi="宋体"/>
                <w:color w:val="auto"/>
              </w:rPr>
              <w:t>50</w:t>
            </w:r>
          </w:p>
        </w:tc>
      </w:tr>
    </w:tbl>
    <w:p w14:paraId="217B6FE7">
      <w:pPr>
        <w:pStyle w:val="21"/>
        <w:widowControl w:val="0"/>
        <w:adjustRightInd w:val="0"/>
        <w:snapToGrid w:val="0"/>
        <w:spacing w:line="360" w:lineRule="auto"/>
        <w:ind w:firstLine="436"/>
        <w:rPr>
          <w:rFonts w:ascii="黑体" w:hAnsi="黑体" w:cs="黑体"/>
          <w:color w:val="auto"/>
        </w:rPr>
      </w:pPr>
      <w:r>
        <w:rPr>
          <w:rFonts w:hint="eastAsia" w:ascii="黑体" w:hAnsi="黑体" w:cs="黑体"/>
          <w:color w:val="auto"/>
        </w:rPr>
        <w:t>注：V为油罐总容积。柴油罐容积可折半计入油罐总容积。</w:t>
      </w:r>
    </w:p>
    <w:p w14:paraId="6DAB07F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rPr>
      </w:pPr>
      <w:r>
        <w:rPr>
          <w:rFonts w:hint="eastAsia" w:ascii="宋体" w:hAnsi="宋体"/>
          <w:color w:val="auto"/>
          <w:sz w:val="28"/>
        </w:rPr>
        <w:t>该站现有职工</w:t>
      </w:r>
      <w:r>
        <w:rPr>
          <w:rFonts w:hint="eastAsia" w:ascii="宋体" w:hAnsi="宋体"/>
          <w:color w:val="auto"/>
          <w:sz w:val="28"/>
          <w:lang w:val="en-US" w:eastAsia="zh-CN"/>
        </w:rPr>
        <w:t>4</w:t>
      </w:r>
      <w:r>
        <w:rPr>
          <w:rFonts w:hint="eastAsia" w:ascii="宋体" w:hAnsi="宋体"/>
          <w:color w:val="auto"/>
          <w:sz w:val="28"/>
          <w:lang w:eastAsia="zh-CN"/>
        </w:rPr>
        <w:t>人</w:t>
      </w:r>
      <w:r>
        <w:rPr>
          <w:rFonts w:hint="eastAsia" w:ascii="宋体" w:hAnsi="宋体"/>
          <w:color w:val="auto"/>
          <w:sz w:val="28"/>
        </w:rPr>
        <w:t>，其中主要负责人1人，安全生产管理员1人。主要负责人和安全生产管理人员已参加了危险化学品安全管理培训，并取得考核合格证，详见附页。</w:t>
      </w:r>
    </w:p>
    <w:p w14:paraId="2D8C080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rPr>
      </w:pPr>
      <w:r>
        <w:rPr>
          <w:rFonts w:hint="eastAsia" w:ascii="宋体" w:hAnsi="宋体"/>
          <w:color w:val="auto"/>
          <w:sz w:val="28"/>
          <w:lang w:val="en-US" w:eastAsia="zh-CN"/>
        </w:rPr>
        <w:t>中国石化山东泰山石油</w:t>
      </w:r>
      <w:r>
        <w:rPr>
          <w:rFonts w:hint="eastAsia" w:ascii="宋体" w:hAnsi="宋体"/>
          <w:color w:val="auto"/>
          <w:sz w:val="28"/>
        </w:rPr>
        <w:t>股份有限公司于</w:t>
      </w:r>
      <w:r>
        <w:rPr>
          <w:rFonts w:hint="eastAsia" w:ascii="宋体" w:hAnsi="宋体"/>
          <w:color w:val="auto"/>
          <w:sz w:val="28"/>
          <w:lang w:val="en-US" w:eastAsia="zh-CN"/>
        </w:rPr>
        <w:t>2006</w:t>
      </w:r>
      <w:r>
        <w:rPr>
          <w:rFonts w:hint="eastAsia" w:ascii="宋体" w:hAnsi="宋体"/>
          <w:color w:val="auto"/>
          <w:sz w:val="28"/>
        </w:rPr>
        <w:t>年</w:t>
      </w:r>
      <w:r>
        <w:rPr>
          <w:rFonts w:hint="eastAsia" w:ascii="宋体" w:hAnsi="宋体"/>
          <w:color w:val="auto"/>
          <w:sz w:val="28"/>
          <w:lang w:val="en-US" w:eastAsia="zh-CN"/>
        </w:rPr>
        <w:t>7</w:t>
      </w:r>
      <w:r>
        <w:rPr>
          <w:rFonts w:hint="eastAsia" w:ascii="宋体" w:hAnsi="宋体"/>
          <w:color w:val="auto"/>
          <w:sz w:val="28"/>
        </w:rPr>
        <w:t>月</w:t>
      </w:r>
      <w:r>
        <w:rPr>
          <w:rFonts w:hint="eastAsia" w:ascii="宋体" w:hAnsi="宋体"/>
          <w:color w:val="auto"/>
          <w:sz w:val="28"/>
          <w:lang w:val="en-US" w:eastAsia="zh-CN"/>
        </w:rPr>
        <w:t>18</w:t>
      </w:r>
      <w:r>
        <w:rPr>
          <w:rFonts w:hint="eastAsia" w:ascii="宋体" w:hAnsi="宋体"/>
          <w:color w:val="auto"/>
          <w:sz w:val="28"/>
        </w:rPr>
        <w:t>日</w:t>
      </w:r>
      <w:r>
        <w:rPr>
          <w:rFonts w:hint="eastAsia" w:ascii="宋体" w:hAnsi="宋体"/>
          <w:color w:val="auto"/>
          <w:sz w:val="28"/>
          <w:lang w:val="en-US" w:eastAsia="zh-CN"/>
        </w:rPr>
        <w:t>与张继新签署了</w:t>
      </w:r>
      <w:r>
        <w:rPr>
          <w:rFonts w:hint="eastAsia" w:ascii="宋体" w:hAnsi="宋体"/>
          <w:color w:val="auto"/>
          <w:sz w:val="28"/>
        </w:rPr>
        <w:t>《</w:t>
      </w:r>
      <w:r>
        <w:rPr>
          <w:rFonts w:hint="eastAsia" w:ascii="宋体" w:hAnsi="宋体"/>
          <w:color w:val="auto"/>
          <w:sz w:val="28"/>
          <w:lang w:val="en-US" w:eastAsia="zh-CN"/>
        </w:rPr>
        <w:t>加油站租赁合同</w:t>
      </w:r>
      <w:r>
        <w:rPr>
          <w:rFonts w:hint="eastAsia" w:ascii="宋体" w:hAnsi="宋体"/>
          <w:color w:val="auto"/>
          <w:sz w:val="28"/>
        </w:rPr>
        <w:t>》，</w:t>
      </w:r>
      <w:r>
        <w:rPr>
          <w:rFonts w:hint="eastAsia" w:ascii="宋体" w:hAnsi="宋体"/>
          <w:color w:val="auto"/>
          <w:sz w:val="28"/>
          <w:lang w:val="en-US" w:eastAsia="zh-CN"/>
        </w:rPr>
        <w:t>合同期限至2025年12月31日</w:t>
      </w:r>
      <w:r>
        <w:rPr>
          <w:rFonts w:hint="eastAsia" w:ascii="宋体" w:hAnsi="宋体"/>
          <w:color w:val="auto"/>
          <w:sz w:val="28"/>
        </w:rPr>
        <w:t>详见附件。</w:t>
      </w:r>
    </w:p>
    <w:p w14:paraId="746EF47E">
      <w:pPr>
        <w:pStyle w:val="6"/>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Times New Roman" w:eastAsia="宋体" w:cs="Times New Roman"/>
          <w:color w:val="auto"/>
          <w:sz w:val="28"/>
          <w:szCs w:val="20"/>
          <w:lang w:val="en-US" w:eastAsia="zh-CN" w:bidi="ar-SA"/>
        </w:rPr>
      </w:pPr>
      <w:r>
        <w:rPr>
          <w:rFonts w:hint="eastAsia" w:ascii="宋体" w:hAnsi="Times New Roman" w:eastAsia="宋体" w:cs="Times New Roman"/>
          <w:color w:val="auto"/>
          <w:sz w:val="28"/>
          <w:szCs w:val="20"/>
          <w:lang w:val="en-US" w:eastAsia="zh-CN" w:bidi="ar-SA"/>
        </w:rPr>
        <w:t>加油站于20</w:t>
      </w:r>
      <w:r>
        <w:rPr>
          <w:rFonts w:hint="eastAsia" w:ascii="宋体" w:cs="Times New Roman"/>
          <w:color w:val="auto"/>
          <w:sz w:val="28"/>
          <w:szCs w:val="20"/>
          <w:lang w:val="en-US" w:eastAsia="zh-CN" w:bidi="ar-SA"/>
        </w:rPr>
        <w:t>07</w:t>
      </w:r>
      <w:r>
        <w:rPr>
          <w:rFonts w:hint="eastAsia" w:ascii="宋体" w:hAnsi="Times New Roman" w:eastAsia="宋体" w:cs="Times New Roman"/>
          <w:color w:val="auto"/>
          <w:sz w:val="28"/>
          <w:szCs w:val="20"/>
          <w:lang w:val="en-US" w:eastAsia="zh-CN" w:bidi="ar-SA"/>
        </w:rPr>
        <w:t>年</w:t>
      </w:r>
      <w:r>
        <w:rPr>
          <w:rFonts w:hint="eastAsia" w:ascii="宋体" w:cs="Times New Roman"/>
          <w:color w:val="auto"/>
          <w:sz w:val="28"/>
          <w:szCs w:val="20"/>
          <w:lang w:val="en-US" w:eastAsia="zh-CN" w:bidi="ar-SA"/>
        </w:rPr>
        <w:t>2</w:t>
      </w:r>
      <w:r>
        <w:rPr>
          <w:rFonts w:hint="eastAsia" w:ascii="宋体" w:hAnsi="Times New Roman" w:eastAsia="宋体" w:cs="Times New Roman"/>
          <w:color w:val="auto"/>
          <w:sz w:val="28"/>
          <w:szCs w:val="20"/>
          <w:lang w:val="en-US" w:eastAsia="zh-CN" w:bidi="ar-SA"/>
        </w:rPr>
        <w:t>月</w:t>
      </w:r>
      <w:r>
        <w:rPr>
          <w:rFonts w:hint="eastAsia" w:ascii="宋体" w:cs="Times New Roman"/>
          <w:color w:val="auto"/>
          <w:sz w:val="28"/>
          <w:szCs w:val="20"/>
          <w:lang w:val="en-US" w:eastAsia="zh-CN" w:bidi="ar-SA"/>
        </w:rPr>
        <w:t>7</w:t>
      </w:r>
      <w:r>
        <w:rPr>
          <w:rFonts w:hint="eastAsia" w:ascii="宋体" w:hAnsi="Times New Roman" w:eastAsia="宋体" w:cs="Times New Roman"/>
          <w:color w:val="auto"/>
          <w:sz w:val="28"/>
          <w:szCs w:val="20"/>
          <w:lang w:val="en-US" w:eastAsia="zh-CN" w:bidi="ar-SA"/>
        </w:rPr>
        <w:t>日取得了泰安市公安消防</w:t>
      </w:r>
      <w:r>
        <w:rPr>
          <w:rFonts w:hint="eastAsia" w:ascii="宋体" w:cs="Times New Roman"/>
          <w:color w:val="auto"/>
          <w:sz w:val="28"/>
          <w:szCs w:val="20"/>
          <w:lang w:val="en-US" w:eastAsia="zh-CN" w:bidi="ar-SA"/>
        </w:rPr>
        <w:t>分局签发的</w:t>
      </w:r>
      <w:r>
        <w:rPr>
          <w:rFonts w:hint="eastAsia" w:ascii="宋体"/>
          <w:color w:val="auto"/>
        </w:rPr>
        <w:t>《</w:t>
      </w:r>
      <w:r>
        <w:rPr>
          <w:rFonts w:hint="eastAsia" w:ascii="宋体"/>
          <w:color w:val="auto"/>
          <w:lang w:val="en-US" w:eastAsia="zh-CN"/>
        </w:rPr>
        <w:t>建筑工程消防验收意见书</w:t>
      </w:r>
      <w:r>
        <w:rPr>
          <w:rFonts w:hint="eastAsia" w:ascii="宋体"/>
          <w:color w:val="auto"/>
        </w:rPr>
        <w:t>》</w:t>
      </w:r>
      <w:r>
        <w:rPr>
          <w:rFonts w:hint="eastAsia" w:ascii="宋体" w:hAnsi="Times New Roman" w:eastAsia="宋体" w:cs="Times New Roman"/>
          <w:color w:val="auto"/>
          <w:sz w:val="28"/>
          <w:szCs w:val="20"/>
          <w:lang w:val="en-US" w:eastAsia="zh-CN" w:bidi="ar-SA"/>
        </w:rPr>
        <w:t>，证书编号：</w:t>
      </w:r>
      <w:r>
        <w:rPr>
          <w:rFonts w:hint="eastAsia" w:ascii="宋体" w:cs="Times New Roman"/>
          <w:color w:val="auto"/>
          <w:sz w:val="28"/>
          <w:szCs w:val="20"/>
          <w:lang w:val="en-US" w:eastAsia="zh-CN" w:bidi="ar-SA"/>
        </w:rPr>
        <w:t>泰</w:t>
      </w:r>
      <w:r>
        <w:rPr>
          <w:rFonts w:hint="eastAsia" w:ascii="宋体" w:hAnsi="Times New Roman" w:eastAsia="宋体" w:cs="Times New Roman"/>
          <w:color w:val="auto"/>
          <w:sz w:val="28"/>
          <w:szCs w:val="20"/>
          <w:lang w:val="en-US" w:eastAsia="zh-CN" w:bidi="ar-SA"/>
        </w:rPr>
        <w:t>公消</w:t>
      </w:r>
      <w:r>
        <w:rPr>
          <w:rFonts w:hint="eastAsia" w:ascii="宋体" w:cs="Times New Roman"/>
          <w:color w:val="auto"/>
          <w:sz w:val="28"/>
          <w:szCs w:val="20"/>
          <w:lang w:val="en-US" w:eastAsia="zh-CN" w:bidi="ar-SA"/>
        </w:rPr>
        <w:t>验字</w:t>
      </w:r>
      <w:r>
        <w:rPr>
          <w:rFonts w:hint="eastAsia" w:ascii="宋体"/>
          <w:color w:val="auto"/>
        </w:rPr>
        <w:t>[20</w:t>
      </w:r>
      <w:r>
        <w:rPr>
          <w:rFonts w:hint="eastAsia" w:ascii="宋体"/>
          <w:color w:val="auto"/>
          <w:lang w:val="en-US" w:eastAsia="zh-CN"/>
        </w:rPr>
        <w:t>07</w:t>
      </w:r>
      <w:r>
        <w:rPr>
          <w:rFonts w:hint="eastAsia" w:ascii="宋体"/>
          <w:color w:val="auto"/>
        </w:rPr>
        <w:t>]</w:t>
      </w:r>
      <w:r>
        <w:rPr>
          <w:rFonts w:hint="eastAsia" w:ascii="宋体" w:cs="Times New Roman"/>
          <w:color w:val="auto"/>
          <w:sz w:val="28"/>
          <w:szCs w:val="20"/>
          <w:lang w:val="en-US" w:eastAsia="zh-CN" w:bidi="ar-SA"/>
        </w:rPr>
        <w:t>第12</w:t>
      </w:r>
      <w:r>
        <w:rPr>
          <w:rFonts w:hint="eastAsia" w:ascii="宋体" w:hAnsi="Times New Roman" w:eastAsia="宋体" w:cs="Times New Roman"/>
          <w:color w:val="auto"/>
          <w:sz w:val="28"/>
          <w:szCs w:val="20"/>
          <w:lang w:val="en-US" w:eastAsia="zh-CN" w:bidi="ar-SA"/>
        </w:rPr>
        <w:t>号，详见附件。</w:t>
      </w:r>
    </w:p>
    <w:p w14:paraId="1DE8FCE8">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color w:val="auto"/>
        </w:rPr>
      </w:pPr>
      <w:r>
        <w:rPr>
          <w:rFonts w:hint="eastAsia" w:ascii="宋体"/>
          <w:color w:val="auto"/>
        </w:rPr>
        <w:t>加油站于</w:t>
      </w:r>
      <w:r>
        <w:rPr>
          <w:rFonts w:ascii="宋体"/>
          <w:color w:val="auto"/>
        </w:rPr>
        <w:t>20</w:t>
      </w:r>
      <w:r>
        <w:rPr>
          <w:rFonts w:hint="eastAsia" w:ascii="宋体"/>
          <w:color w:val="auto"/>
        </w:rPr>
        <w:t>2</w:t>
      </w:r>
      <w:r>
        <w:rPr>
          <w:rFonts w:hint="eastAsia" w:ascii="宋体"/>
          <w:color w:val="auto"/>
          <w:lang w:val="en-US" w:eastAsia="zh-CN"/>
        </w:rPr>
        <w:t>1</w:t>
      </w:r>
      <w:r>
        <w:rPr>
          <w:rFonts w:ascii="宋体"/>
          <w:color w:val="auto"/>
        </w:rPr>
        <w:t>年</w:t>
      </w:r>
      <w:r>
        <w:rPr>
          <w:rFonts w:hint="eastAsia" w:ascii="宋体"/>
          <w:color w:val="auto"/>
          <w:lang w:val="en-US" w:eastAsia="zh-CN"/>
        </w:rPr>
        <w:t>12</w:t>
      </w:r>
      <w:r>
        <w:rPr>
          <w:rFonts w:ascii="宋体"/>
          <w:color w:val="auto"/>
        </w:rPr>
        <w:t>月</w:t>
      </w:r>
      <w:r>
        <w:rPr>
          <w:rFonts w:hint="eastAsia" w:ascii="宋体"/>
          <w:color w:val="auto"/>
          <w:lang w:val="en-US" w:eastAsia="zh-CN"/>
        </w:rPr>
        <w:t>10</w:t>
      </w:r>
      <w:r>
        <w:rPr>
          <w:rFonts w:ascii="宋体"/>
          <w:color w:val="auto"/>
        </w:rPr>
        <w:t>日</w:t>
      </w:r>
      <w:r>
        <w:rPr>
          <w:rFonts w:hint="eastAsia" w:ascii="宋体"/>
          <w:color w:val="auto"/>
        </w:rPr>
        <w:t>换发了</w:t>
      </w:r>
      <w:r>
        <w:rPr>
          <w:rFonts w:ascii="宋体"/>
          <w:color w:val="auto"/>
        </w:rPr>
        <w:t>《成品油零售经营批准证书》，证书编号：</w:t>
      </w:r>
      <w:r>
        <w:rPr>
          <w:rFonts w:hint="eastAsia" w:ascii="宋体"/>
          <w:color w:val="auto"/>
        </w:rPr>
        <w:t>鲁油零售证书第37090</w:t>
      </w:r>
      <w:r>
        <w:rPr>
          <w:rFonts w:hint="eastAsia" w:ascii="宋体"/>
          <w:color w:val="auto"/>
          <w:lang w:val="en-US" w:eastAsia="zh-CN"/>
        </w:rPr>
        <w:t>31014</w:t>
      </w:r>
      <w:r>
        <w:rPr>
          <w:rFonts w:ascii="宋体"/>
          <w:color w:val="auto"/>
        </w:rPr>
        <w:t>号</w:t>
      </w:r>
      <w:r>
        <w:rPr>
          <w:rFonts w:hint="eastAsia" w:ascii="宋体"/>
          <w:color w:val="auto"/>
        </w:rPr>
        <w:t>，证书有效期至2026年</w:t>
      </w:r>
      <w:r>
        <w:rPr>
          <w:rFonts w:hint="eastAsia" w:ascii="宋体"/>
          <w:color w:val="auto"/>
          <w:lang w:val="en-US" w:eastAsia="zh-CN"/>
        </w:rPr>
        <w:t>12</w:t>
      </w:r>
      <w:r>
        <w:rPr>
          <w:rFonts w:hint="eastAsia" w:ascii="宋体"/>
          <w:color w:val="auto"/>
        </w:rPr>
        <w:t>月</w:t>
      </w:r>
      <w:r>
        <w:rPr>
          <w:rFonts w:hint="eastAsia" w:ascii="宋体"/>
          <w:color w:val="auto"/>
          <w:lang w:val="en-US" w:eastAsia="zh-CN"/>
        </w:rPr>
        <w:t>10</w:t>
      </w:r>
      <w:r>
        <w:rPr>
          <w:rFonts w:hint="eastAsia" w:ascii="宋体"/>
          <w:color w:val="auto"/>
        </w:rPr>
        <w:t>日，证书见附件</w:t>
      </w:r>
      <w:r>
        <w:rPr>
          <w:rFonts w:ascii="宋体"/>
          <w:color w:val="auto"/>
        </w:rPr>
        <w:t>。</w:t>
      </w:r>
    </w:p>
    <w:p w14:paraId="71EC7D7D">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color w:val="auto"/>
        </w:rPr>
      </w:pPr>
      <w:r>
        <w:rPr>
          <w:rFonts w:hint="eastAsia" w:ascii="宋体"/>
          <w:color w:val="auto"/>
        </w:rPr>
        <w:t>加油站于</w:t>
      </w:r>
      <w:r>
        <w:rPr>
          <w:rFonts w:ascii="宋体"/>
          <w:color w:val="auto"/>
        </w:rPr>
        <w:t>20</w:t>
      </w:r>
      <w:r>
        <w:rPr>
          <w:rFonts w:hint="eastAsia" w:ascii="宋体"/>
          <w:color w:val="auto"/>
        </w:rPr>
        <w:t>2</w:t>
      </w:r>
      <w:r>
        <w:rPr>
          <w:rFonts w:hint="eastAsia" w:ascii="宋体"/>
          <w:color w:val="auto"/>
          <w:lang w:val="en-US" w:eastAsia="zh-CN"/>
        </w:rPr>
        <w:t>2</w:t>
      </w:r>
      <w:r>
        <w:rPr>
          <w:rFonts w:hint="eastAsia" w:ascii="宋体"/>
          <w:color w:val="auto"/>
        </w:rPr>
        <w:t>年</w:t>
      </w:r>
      <w:r>
        <w:rPr>
          <w:rFonts w:hint="eastAsia" w:ascii="宋体"/>
          <w:color w:val="auto"/>
          <w:lang w:val="en-US" w:eastAsia="zh-CN"/>
        </w:rPr>
        <w:t>3</w:t>
      </w:r>
      <w:r>
        <w:rPr>
          <w:rFonts w:hint="eastAsia" w:ascii="宋体"/>
          <w:color w:val="auto"/>
        </w:rPr>
        <w:t>月</w:t>
      </w:r>
      <w:r>
        <w:rPr>
          <w:rFonts w:hint="eastAsia" w:ascii="宋体"/>
          <w:color w:val="auto"/>
          <w:lang w:val="en-US" w:eastAsia="zh-CN"/>
        </w:rPr>
        <w:t>7</w:t>
      </w:r>
      <w:r>
        <w:rPr>
          <w:rFonts w:hint="eastAsia" w:ascii="宋体"/>
          <w:color w:val="auto"/>
        </w:rPr>
        <w:t>日换发了《危险化学品经营许可证》，证书编号：鲁泰危化经[20</w:t>
      </w:r>
      <w:r>
        <w:rPr>
          <w:rFonts w:hint="eastAsia" w:ascii="宋体"/>
          <w:color w:val="auto"/>
          <w:lang w:val="en-US" w:eastAsia="zh-CN"/>
        </w:rPr>
        <w:t>22</w:t>
      </w:r>
      <w:r>
        <w:rPr>
          <w:rFonts w:hint="eastAsia" w:ascii="宋体"/>
          <w:color w:val="auto"/>
        </w:rPr>
        <w:t>]000</w:t>
      </w:r>
      <w:r>
        <w:rPr>
          <w:rFonts w:hint="eastAsia" w:ascii="宋体"/>
          <w:color w:val="auto"/>
          <w:lang w:val="en-US" w:eastAsia="zh-CN"/>
        </w:rPr>
        <w:t>502</w:t>
      </w:r>
      <w:r>
        <w:rPr>
          <w:rFonts w:hint="eastAsia" w:ascii="宋体"/>
          <w:color w:val="auto"/>
        </w:rPr>
        <w:t>号，证书有效期至202</w:t>
      </w:r>
      <w:r>
        <w:rPr>
          <w:rFonts w:hint="eastAsia" w:ascii="宋体"/>
          <w:color w:val="auto"/>
          <w:lang w:val="en-US" w:eastAsia="zh-CN"/>
        </w:rPr>
        <w:t>5</w:t>
      </w:r>
      <w:r>
        <w:rPr>
          <w:rFonts w:hint="eastAsia" w:ascii="宋体"/>
          <w:color w:val="auto"/>
        </w:rPr>
        <w:t>年</w:t>
      </w:r>
      <w:r>
        <w:rPr>
          <w:rFonts w:hint="eastAsia" w:ascii="宋体"/>
          <w:color w:val="auto"/>
          <w:lang w:val="en-US" w:eastAsia="zh-CN"/>
        </w:rPr>
        <w:t>3</w:t>
      </w:r>
      <w:r>
        <w:rPr>
          <w:rFonts w:hint="eastAsia" w:ascii="宋体"/>
          <w:color w:val="auto"/>
        </w:rPr>
        <w:t>月</w:t>
      </w:r>
      <w:r>
        <w:rPr>
          <w:rFonts w:hint="eastAsia" w:ascii="宋体"/>
          <w:color w:val="auto"/>
          <w:lang w:val="en-US" w:eastAsia="zh-CN"/>
        </w:rPr>
        <w:t>25</w:t>
      </w:r>
      <w:r>
        <w:rPr>
          <w:rFonts w:hint="eastAsia" w:ascii="宋体"/>
          <w:color w:val="auto"/>
        </w:rPr>
        <w:t>日，证书见附件。</w:t>
      </w:r>
    </w:p>
    <w:p w14:paraId="5282C743">
      <w:pPr>
        <w:pStyle w:val="17"/>
        <w:widowControl w:val="0"/>
        <w:adjustRightInd w:val="0"/>
        <w:snapToGrid w:val="0"/>
        <w:spacing w:line="360" w:lineRule="auto"/>
        <w:ind w:firstLine="560"/>
        <w:rPr>
          <w:rFonts w:hint="eastAsia" w:ascii="宋体"/>
          <w:color w:val="auto"/>
        </w:rPr>
      </w:pPr>
      <w:r>
        <w:rPr>
          <w:rFonts w:hint="eastAsia" w:ascii="宋体"/>
          <w:color w:val="auto"/>
        </w:rPr>
        <w:t>该站在中国</w:t>
      </w:r>
      <w:r>
        <w:rPr>
          <w:rFonts w:hint="eastAsia" w:ascii="宋体"/>
          <w:color w:val="auto"/>
          <w:lang w:val="en-US" w:eastAsia="zh-CN"/>
        </w:rPr>
        <w:t>太平洋财产</w:t>
      </w:r>
      <w:r>
        <w:rPr>
          <w:rFonts w:hint="eastAsia" w:ascii="宋体"/>
          <w:color w:val="auto"/>
        </w:rPr>
        <w:t>保险股份有限公司</w:t>
      </w:r>
      <w:r>
        <w:rPr>
          <w:rFonts w:hint="eastAsia" w:ascii="宋体"/>
          <w:color w:val="auto"/>
          <w:lang w:val="en-US" w:eastAsia="zh-CN"/>
        </w:rPr>
        <w:t>济南中心支公司</w:t>
      </w:r>
      <w:r>
        <w:rPr>
          <w:rFonts w:hint="eastAsia" w:ascii="宋体"/>
          <w:color w:val="auto"/>
        </w:rPr>
        <w:t>投保安全生产责任保险，保险期限2024年</w:t>
      </w:r>
      <w:r>
        <w:rPr>
          <w:rFonts w:hint="eastAsia" w:ascii="宋体"/>
          <w:color w:val="auto"/>
          <w:lang w:val="en-US" w:eastAsia="zh-CN"/>
        </w:rPr>
        <w:t>1</w:t>
      </w:r>
      <w:r>
        <w:rPr>
          <w:rFonts w:hint="eastAsia" w:ascii="宋体"/>
          <w:color w:val="auto"/>
        </w:rPr>
        <w:t>月</w:t>
      </w:r>
      <w:r>
        <w:rPr>
          <w:rFonts w:hint="eastAsia" w:ascii="宋体"/>
          <w:color w:val="auto"/>
          <w:lang w:val="en-US" w:eastAsia="zh-CN"/>
        </w:rPr>
        <w:t>29</w:t>
      </w:r>
      <w:r>
        <w:rPr>
          <w:rFonts w:hint="eastAsia" w:ascii="宋体"/>
          <w:color w:val="auto"/>
        </w:rPr>
        <w:t>日至2025年</w:t>
      </w:r>
      <w:r>
        <w:rPr>
          <w:rFonts w:hint="eastAsia" w:ascii="宋体"/>
          <w:color w:val="auto"/>
          <w:lang w:val="en-US" w:eastAsia="zh-CN"/>
        </w:rPr>
        <w:t>1</w:t>
      </w:r>
      <w:r>
        <w:rPr>
          <w:rFonts w:hint="eastAsia" w:ascii="宋体"/>
          <w:color w:val="auto"/>
        </w:rPr>
        <w:t>月2</w:t>
      </w:r>
      <w:r>
        <w:rPr>
          <w:rFonts w:hint="eastAsia" w:ascii="宋体"/>
          <w:color w:val="auto"/>
          <w:lang w:val="en-US" w:eastAsia="zh-CN"/>
        </w:rPr>
        <w:t>8</w:t>
      </w:r>
      <w:r>
        <w:rPr>
          <w:rFonts w:hint="eastAsia" w:ascii="宋体"/>
          <w:color w:val="auto"/>
        </w:rPr>
        <w:t>日，详见附件。</w:t>
      </w:r>
    </w:p>
    <w:p w14:paraId="600504F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rPr>
      </w:pPr>
      <w:r>
        <w:rPr>
          <w:rFonts w:hint="eastAsia" w:ascii="宋体" w:hAnsi="宋体"/>
          <w:color w:val="auto"/>
          <w:sz w:val="28"/>
        </w:rPr>
        <w:t>该站编制了生产安全事故应急预案，于202</w:t>
      </w:r>
      <w:r>
        <w:rPr>
          <w:rFonts w:hint="eastAsia" w:ascii="宋体" w:hAnsi="宋体"/>
          <w:color w:val="auto"/>
          <w:sz w:val="28"/>
          <w:lang w:val="en-US" w:eastAsia="zh-CN"/>
        </w:rPr>
        <w:t>4年10</w:t>
      </w:r>
      <w:r>
        <w:rPr>
          <w:rFonts w:hint="eastAsia" w:ascii="宋体" w:hAnsi="宋体"/>
          <w:color w:val="auto"/>
          <w:sz w:val="28"/>
        </w:rPr>
        <w:t>月</w:t>
      </w:r>
      <w:r>
        <w:rPr>
          <w:rFonts w:hint="eastAsia" w:ascii="宋体" w:hAnsi="宋体"/>
          <w:color w:val="auto"/>
          <w:sz w:val="28"/>
          <w:lang w:val="en-US" w:eastAsia="zh-CN"/>
        </w:rPr>
        <w:t>22</w:t>
      </w:r>
      <w:r>
        <w:rPr>
          <w:rFonts w:hint="eastAsia" w:ascii="宋体" w:hAnsi="宋体"/>
          <w:color w:val="auto"/>
          <w:sz w:val="28"/>
        </w:rPr>
        <w:t>日在泰安市应急管理局进行了备案，备案编号为：3709</w:t>
      </w:r>
      <w:r>
        <w:rPr>
          <w:rFonts w:hint="eastAsia" w:ascii="宋体" w:hAnsi="宋体"/>
          <w:color w:val="auto"/>
          <w:sz w:val="28"/>
          <w:lang w:val="en-US" w:eastAsia="zh-CN"/>
        </w:rPr>
        <w:t>00</w:t>
      </w:r>
      <w:r>
        <w:rPr>
          <w:rFonts w:hint="eastAsia" w:ascii="宋体" w:hAnsi="宋体"/>
          <w:color w:val="auto"/>
          <w:sz w:val="28"/>
        </w:rPr>
        <w:t>-202</w:t>
      </w:r>
      <w:r>
        <w:rPr>
          <w:rFonts w:hint="eastAsia" w:ascii="宋体" w:hAnsi="宋体"/>
          <w:color w:val="auto"/>
          <w:sz w:val="28"/>
          <w:lang w:val="en-US" w:eastAsia="zh-CN"/>
        </w:rPr>
        <w:t>4</w:t>
      </w:r>
      <w:r>
        <w:rPr>
          <w:rFonts w:hint="eastAsia" w:ascii="宋体" w:hAnsi="宋体"/>
          <w:color w:val="auto"/>
          <w:sz w:val="28"/>
        </w:rPr>
        <w:t>-0</w:t>
      </w:r>
      <w:r>
        <w:rPr>
          <w:rFonts w:hint="eastAsia" w:ascii="宋体" w:hAnsi="宋体"/>
          <w:color w:val="auto"/>
          <w:sz w:val="28"/>
          <w:lang w:val="en-US" w:eastAsia="zh-CN"/>
        </w:rPr>
        <w:t>107</w:t>
      </w:r>
      <w:r>
        <w:rPr>
          <w:rFonts w:hint="eastAsia" w:ascii="宋体" w:hAnsi="宋体"/>
          <w:color w:val="auto"/>
          <w:sz w:val="28"/>
        </w:rPr>
        <w:t>，详见附件。</w:t>
      </w:r>
    </w:p>
    <w:p w14:paraId="3A510DB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rPr>
      </w:pPr>
      <w:r>
        <w:rPr>
          <w:rFonts w:hint="eastAsia" w:ascii="宋体" w:hAnsi="宋体"/>
          <w:color w:val="auto"/>
          <w:sz w:val="28"/>
        </w:rPr>
        <w:t>山东天科防雷工程有限公司对该站进行了相关防雷设施的检测，出具了合格的《雷电防护装置定期检测报告》，报告编号：</w:t>
      </w:r>
      <w:r>
        <w:rPr>
          <w:rFonts w:hint="eastAsia" w:ascii="宋体" w:hAnsi="宋体"/>
          <w:color w:val="auto"/>
          <w:sz w:val="28"/>
          <w:lang w:val="en-US" w:eastAsia="zh-CN"/>
        </w:rPr>
        <w:t>（1122016001）[</w:t>
      </w:r>
      <w:r>
        <w:rPr>
          <w:rFonts w:hint="eastAsia" w:ascii="宋体" w:hAnsi="宋体"/>
          <w:color w:val="auto"/>
          <w:sz w:val="28"/>
        </w:rPr>
        <w:t>2024</w:t>
      </w:r>
      <w:r>
        <w:rPr>
          <w:rFonts w:hint="eastAsia" w:ascii="宋体" w:hAnsi="宋体"/>
          <w:color w:val="auto"/>
          <w:sz w:val="28"/>
          <w:lang w:val="en-US" w:eastAsia="zh-CN"/>
        </w:rPr>
        <w:t>]</w:t>
      </w:r>
      <w:r>
        <w:rPr>
          <w:rFonts w:hint="eastAsia" w:ascii="宋体" w:hAnsi="宋体"/>
          <w:color w:val="auto"/>
          <w:sz w:val="28"/>
        </w:rPr>
        <w:t>TA-0</w:t>
      </w:r>
      <w:r>
        <w:rPr>
          <w:rFonts w:hint="eastAsia" w:ascii="宋体" w:hAnsi="宋体"/>
          <w:color w:val="auto"/>
          <w:sz w:val="28"/>
          <w:lang w:val="en-US" w:eastAsia="zh-CN"/>
        </w:rPr>
        <w:t>381</w:t>
      </w:r>
      <w:r>
        <w:rPr>
          <w:rFonts w:hint="eastAsia" w:ascii="宋体" w:hAnsi="宋体"/>
          <w:color w:val="auto"/>
          <w:sz w:val="28"/>
        </w:rPr>
        <w:t>号，防雷类别：二类，结论为“合格：</w:t>
      </w:r>
      <w:r>
        <w:rPr>
          <w:rFonts w:hint="eastAsia" w:ascii="宋体" w:hAnsi="宋体"/>
          <w:color w:val="auto"/>
          <w:sz w:val="28"/>
          <w:lang w:val="en-US" w:eastAsia="zh-CN"/>
        </w:rPr>
        <w:t>加油站</w:t>
      </w:r>
      <w:r>
        <w:rPr>
          <w:rFonts w:hint="eastAsia" w:ascii="宋体" w:hAnsi="宋体"/>
          <w:color w:val="auto"/>
          <w:sz w:val="28"/>
        </w:rPr>
        <w:t>雷电防护装置符合现行国家防雷规范标准要求”，有效期至202</w:t>
      </w:r>
      <w:r>
        <w:rPr>
          <w:rFonts w:hint="eastAsia" w:ascii="宋体" w:hAnsi="宋体"/>
          <w:color w:val="auto"/>
          <w:sz w:val="28"/>
          <w:lang w:val="en-US" w:eastAsia="zh-CN"/>
        </w:rPr>
        <w:t>5</w:t>
      </w:r>
      <w:r>
        <w:rPr>
          <w:rFonts w:hint="eastAsia" w:ascii="宋体" w:hAnsi="宋体"/>
          <w:color w:val="auto"/>
          <w:sz w:val="28"/>
        </w:rPr>
        <w:t>年</w:t>
      </w:r>
      <w:r>
        <w:rPr>
          <w:rFonts w:hint="eastAsia" w:ascii="宋体" w:hAnsi="宋体"/>
          <w:color w:val="auto"/>
          <w:sz w:val="28"/>
          <w:lang w:val="en-US" w:eastAsia="zh-CN"/>
        </w:rPr>
        <w:t>04</w:t>
      </w:r>
      <w:r>
        <w:rPr>
          <w:rFonts w:hint="eastAsia" w:ascii="宋体" w:hAnsi="宋体"/>
          <w:color w:val="auto"/>
          <w:sz w:val="28"/>
        </w:rPr>
        <w:t>月1</w:t>
      </w:r>
      <w:r>
        <w:rPr>
          <w:rFonts w:hint="eastAsia" w:ascii="宋体" w:hAnsi="宋体"/>
          <w:color w:val="auto"/>
          <w:sz w:val="28"/>
          <w:lang w:val="en-US" w:eastAsia="zh-CN"/>
        </w:rPr>
        <w:t>2</w:t>
      </w:r>
      <w:r>
        <w:rPr>
          <w:rFonts w:hint="eastAsia" w:ascii="宋体" w:hAnsi="宋体"/>
          <w:color w:val="auto"/>
          <w:sz w:val="28"/>
        </w:rPr>
        <w:t>日，检测报告见附件。</w:t>
      </w:r>
    </w:p>
    <w:p w14:paraId="138C98D4">
      <w:pPr>
        <w:pStyle w:val="17"/>
        <w:widowControl w:val="0"/>
        <w:adjustRightInd w:val="0"/>
        <w:snapToGrid w:val="0"/>
        <w:spacing w:line="360" w:lineRule="auto"/>
        <w:ind w:firstLine="560"/>
        <w:rPr>
          <w:rFonts w:hint="default" w:ascii="宋体" w:eastAsia="宋体"/>
          <w:color w:val="auto"/>
          <w:lang w:val="en-US" w:eastAsia="zh-CN"/>
        </w:rPr>
      </w:pPr>
      <w:r>
        <w:rPr>
          <w:rFonts w:hint="eastAsia" w:ascii="宋体"/>
          <w:color w:val="auto"/>
          <w:lang w:val="en-US" w:eastAsia="zh-CN"/>
        </w:rPr>
        <w:t>该站于2024年3月03月29日取得了济南本安科技发展有限公司出具的工业及商业用途点型可燃气体探测器检验报告，有效期至2025年03月28日</w:t>
      </w:r>
      <w:r>
        <w:rPr>
          <w:rFonts w:hint="eastAsia" w:ascii="宋体" w:hAnsi="宋体"/>
          <w:color w:val="auto"/>
          <w:sz w:val="28"/>
        </w:rPr>
        <w:t>检测报告见附件。</w:t>
      </w:r>
    </w:p>
    <w:p w14:paraId="6D13B921">
      <w:pPr>
        <w:pStyle w:val="17"/>
        <w:widowControl w:val="0"/>
        <w:adjustRightInd w:val="0"/>
        <w:snapToGrid w:val="0"/>
        <w:spacing w:line="360" w:lineRule="auto"/>
        <w:ind w:firstLine="560"/>
        <w:rPr>
          <w:rFonts w:ascii="宋体"/>
          <w:color w:val="auto"/>
        </w:rPr>
      </w:pPr>
      <w:r>
        <w:rPr>
          <w:rFonts w:hint="eastAsia" w:ascii="宋体"/>
          <w:color w:val="auto"/>
        </w:rPr>
        <w:t>该站建立健全了安全生产责任制、安全生产规章制度和安全操作规程，执行情况较好。</w:t>
      </w:r>
    </w:p>
    <w:p w14:paraId="31688E7D">
      <w:pPr>
        <w:pStyle w:val="17"/>
        <w:widowControl w:val="0"/>
        <w:adjustRightInd w:val="0"/>
        <w:snapToGrid w:val="0"/>
        <w:spacing w:line="360" w:lineRule="auto"/>
        <w:ind w:firstLine="560"/>
        <w:rPr>
          <w:rFonts w:ascii="宋体"/>
          <w:color w:val="auto"/>
        </w:rPr>
      </w:pPr>
      <w:r>
        <w:rPr>
          <w:rFonts w:hint="eastAsia" w:ascii="宋体"/>
          <w:color w:val="auto"/>
        </w:rPr>
        <w:t>该站各项安全管理制度健全，有生产经营单位生产事故应急预案，并定期进行应急救援演练。该加油站消防器材配备齐全，加油站配备了35kg推车式干粉灭火器</w:t>
      </w:r>
      <w:r>
        <w:rPr>
          <w:rFonts w:hint="eastAsia" w:ascii="宋体"/>
          <w:color w:val="auto"/>
          <w:lang w:val="en-US" w:eastAsia="zh-CN"/>
        </w:rPr>
        <w:t>1</w:t>
      </w:r>
      <w:r>
        <w:rPr>
          <w:rFonts w:hint="eastAsia" w:ascii="宋体"/>
          <w:color w:val="auto"/>
        </w:rPr>
        <w:t>具，</w:t>
      </w:r>
      <w:r>
        <w:rPr>
          <w:rFonts w:hint="eastAsia" w:ascii="宋体"/>
          <w:color w:val="auto"/>
          <w:lang w:val="en-US" w:eastAsia="zh-CN"/>
        </w:rPr>
        <w:t>5</w:t>
      </w:r>
      <w:r>
        <w:rPr>
          <w:rFonts w:hint="eastAsia" w:ascii="宋体"/>
          <w:color w:val="auto"/>
        </w:rPr>
        <w:t>kg手提式干粉灭火器</w:t>
      </w:r>
      <w:r>
        <w:rPr>
          <w:rFonts w:hint="eastAsia" w:ascii="宋体"/>
          <w:color w:val="auto"/>
          <w:lang w:val="en-US" w:eastAsia="zh-CN"/>
        </w:rPr>
        <w:t>12</w:t>
      </w:r>
      <w:r>
        <w:rPr>
          <w:rFonts w:hint="eastAsia" w:ascii="宋体"/>
          <w:color w:val="auto"/>
        </w:rPr>
        <w:t>具，CO</w:t>
      </w:r>
      <w:r>
        <w:rPr>
          <w:rFonts w:hint="eastAsia" w:ascii="宋体"/>
          <w:color w:val="auto"/>
          <w:vertAlign w:val="subscript"/>
        </w:rPr>
        <w:t>2</w:t>
      </w:r>
      <w:r>
        <w:rPr>
          <w:rFonts w:hint="eastAsia" w:ascii="宋体"/>
          <w:color w:val="auto"/>
        </w:rPr>
        <w:t>灭火器</w:t>
      </w:r>
      <w:r>
        <w:rPr>
          <w:rFonts w:hint="eastAsia" w:ascii="宋体"/>
          <w:color w:val="auto"/>
          <w:lang w:val="en-US" w:eastAsia="zh-CN"/>
        </w:rPr>
        <w:t>4</w:t>
      </w:r>
      <w:r>
        <w:rPr>
          <w:rFonts w:hint="eastAsia" w:ascii="宋体"/>
          <w:color w:val="auto"/>
        </w:rPr>
        <w:t>具，灭火毯</w:t>
      </w:r>
      <w:r>
        <w:rPr>
          <w:rFonts w:hint="eastAsia" w:ascii="宋体"/>
          <w:color w:val="auto"/>
          <w:lang w:val="en-US" w:eastAsia="zh-CN"/>
        </w:rPr>
        <w:t>5</w:t>
      </w:r>
      <w:r>
        <w:rPr>
          <w:rFonts w:hint="eastAsia" w:ascii="宋体"/>
          <w:color w:val="auto"/>
        </w:rPr>
        <w:t>块，消防锨</w:t>
      </w:r>
      <w:r>
        <w:rPr>
          <w:rFonts w:hint="eastAsia" w:ascii="宋体"/>
          <w:color w:val="auto"/>
          <w:lang w:val="en-US" w:eastAsia="zh-CN"/>
        </w:rPr>
        <w:t>4</w:t>
      </w:r>
      <w:r>
        <w:rPr>
          <w:rFonts w:hint="eastAsia" w:ascii="宋体"/>
          <w:color w:val="auto"/>
        </w:rPr>
        <w:t>把，消防桶2个，消防沙池2m</w:t>
      </w:r>
      <w:r>
        <w:rPr>
          <w:rFonts w:hint="eastAsia" w:ascii="宋体"/>
          <w:color w:val="auto"/>
          <w:vertAlign w:val="superscript"/>
        </w:rPr>
        <w:t>3</w:t>
      </w:r>
      <w:r>
        <w:rPr>
          <w:rFonts w:hint="eastAsia" w:ascii="宋体"/>
          <w:color w:val="auto"/>
        </w:rPr>
        <w:t>。</w:t>
      </w:r>
    </w:p>
    <w:p w14:paraId="6FFECC2C">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r>
        <w:rPr>
          <w:rFonts w:hint="eastAsia"/>
          <w:color w:val="auto"/>
          <w:highlight w:val="none"/>
        </w:rPr>
        <w:t>第四章 评价单元划分与评价方法选择</w:t>
      </w:r>
      <w:bookmarkEnd w:id="6"/>
      <w:bookmarkEnd w:id="7"/>
      <w:bookmarkEnd w:id="8"/>
      <w:bookmarkEnd w:id="9"/>
      <w:bookmarkEnd w:id="10"/>
    </w:p>
    <w:p w14:paraId="2746B56D">
      <w:pPr>
        <w:pStyle w:val="4"/>
        <w:spacing w:before="312" w:beforeLines="100" w:after="312" w:afterLines="100" w:line="360" w:lineRule="auto"/>
        <w:ind w:firstLine="0"/>
        <w:rPr>
          <w:rFonts w:hint="eastAsia"/>
          <w:color w:val="auto"/>
          <w:highlight w:val="none"/>
        </w:rPr>
      </w:pPr>
      <w:bookmarkStart w:id="21" w:name="_Toc198026273"/>
      <w:bookmarkStart w:id="22" w:name="_Toc238007574"/>
      <w:bookmarkStart w:id="23" w:name="_Toc192907201"/>
      <w:bookmarkStart w:id="24" w:name="_Toc7829"/>
      <w:bookmarkStart w:id="25" w:name="_Toc102634256"/>
      <w:bookmarkStart w:id="26" w:name="_Toc15033754"/>
      <w:bookmarkStart w:id="27" w:name="_Toc102633907"/>
      <w:bookmarkStart w:id="28" w:name="_Toc23543"/>
      <w:bookmarkStart w:id="29" w:name="_Toc12643"/>
      <w:bookmarkStart w:id="30" w:name="_Toc272364536"/>
      <w:bookmarkStart w:id="31" w:name="_Toc102633981"/>
      <w:bookmarkStart w:id="32" w:name="_Toc102634407"/>
      <w:r>
        <w:rPr>
          <w:rFonts w:hint="eastAsia"/>
          <w:color w:val="auto"/>
          <w:highlight w:val="none"/>
        </w:rPr>
        <w:t>第一节 评价单元的划分</w:t>
      </w:r>
      <w:bookmarkEnd w:id="21"/>
      <w:bookmarkEnd w:id="22"/>
      <w:bookmarkEnd w:id="23"/>
      <w:bookmarkEnd w:id="24"/>
      <w:bookmarkEnd w:id="25"/>
      <w:bookmarkEnd w:id="26"/>
      <w:bookmarkEnd w:id="27"/>
      <w:bookmarkEnd w:id="28"/>
      <w:bookmarkEnd w:id="29"/>
      <w:bookmarkEnd w:id="30"/>
      <w:bookmarkEnd w:id="31"/>
      <w:bookmarkEnd w:id="32"/>
    </w:p>
    <w:p w14:paraId="16EA1EA6">
      <w:pPr>
        <w:pStyle w:val="17"/>
        <w:widowControl w:val="0"/>
        <w:adjustRightInd w:val="0"/>
        <w:snapToGrid w:val="0"/>
        <w:spacing w:line="360" w:lineRule="auto"/>
        <w:ind w:firstLine="560"/>
        <w:rPr>
          <w:rFonts w:ascii="宋体"/>
          <w:color w:val="auto"/>
          <w:highlight w:val="none"/>
        </w:rPr>
      </w:pPr>
      <w:r>
        <w:rPr>
          <w:rFonts w:ascii="宋体"/>
          <w:color w:val="auto"/>
          <w:highlight w:val="none"/>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1F3853BF">
      <w:pPr>
        <w:pStyle w:val="22"/>
        <w:widowControl w:val="0"/>
        <w:adjustRightInd w:val="0"/>
        <w:snapToGrid w:val="0"/>
        <w:spacing w:line="360" w:lineRule="auto"/>
        <w:ind w:firstLine="560"/>
        <w:jc w:val="both"/>
        <w:rPr>
          <w:color w:val="auto"/>
          <w:highlight w:val="none"/>
        </w:rPr>
      </w:pPr>
      <w:bookmarkStart w:id="33" w:name="_Toc102634257"/>
      <w:r>
        <w:rPr>
          <w:rFonts w:hint="eastAsia"/>
          <w:color w:val="auto"/>
          <w:highlight w:val="none"/>
        </w:rPr>
        <w:t>一</w:t>
      </w:r>
      <w:r>
        <w:rPr>
          <w:color w:val="auto"/>
          <w:highlight w:val="none"/>
        </w:rPr>
        <w:t>、以危险有害因素的类别为主划分评价单元</w:t>
      </w:r>
      <w:bookmarkEnd w:id="33"/>
    </w:p>
    <w:p w14:paraId="27353523">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1、</w:t>
      </w:r>
      <w:r>
        <w:rPr>
          <w:rFonts w:ascii="宋体"/>
          <w:color w:val="auto"/>
          <w:highlight w:val="none"/>
        </w:rPr>
        <w:t>对工艺方案、总体布置及自然条件、社会环境等影响系统的危险有害因素的分析和评价，宜将整个系统作为一个评价单元。</w:t>
      </w:r>
    </w:p>
    <w:p w14:paraId="026DA44C">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2、</w:t>
      </w:r>
      <w:r>
        <w:rPr>
          <w:rFonts w:ascii="宋体"/>
          <w:color w:val="auto"/>
          <w:highlight w:val="none"/>
        </w:rPr>
        <w:t>将具有共性危险有害因素的场所和装置划分为一个评价单元。</w:t>
      </w:r>
    </w:p>
    <w:p w14:paraId="398C798A">
      <w:pPr>
        <w:pStyle w:val="22"/>
        <w:widowControl w:val="0"/>
        <w:adjustRightInd w:val="0"/>
        <w:snapToGrid w:val="0"/>
        <w:spacing w:line="360" w:lineRule="auto"/>
        <w:ind w:firstLine="560"/>
        <w:jc w:val="both"/>
        <w:rPr>
          <w:color w:val="auto"/>
          <w:highlight w:val="none"/>
        </w:rPr>
      </w:pPr>
      <w:bookmarkStart w:id="34" w:name="_Toc102634258"/>
      <w:r>
        <w:rPr>
          <w:rFonts w:hint="eastAsia"/>
          <w:color w:val="auto"/>
          <w:highlight w:val="none"/>
        </w:rPr>
        <w:t>二</w:t>
      </w:r>
      <w:r>
        <w:rPr>
          <w:color w:val="auto"/>
          <w:highlight w:val="none"/>
        </w:rPr>
        <w:t>、以物质特征划分评价单元</w:t>
      </w:r>
      <w:bookmarkEnd w:id="34"/>
    </w:p>
    <w:p w14:paraId="62CFCC3E">
      <w:pPr>
        <w:pStyle w:val="17"/>
        <w:widowControl w:val="0"/>
        <w:adjustRightInd w:val="0"/>
        <w:snapToGrid w:val="0"/>
        <w:spacing w:line="360" w:lineRule="auto"/>
        <w:ind w:firstLine="560"/>
        <w:rPr>
          <w:rFonts w:ascii="宋体"/>
          <w:color w:val="auto"/>
          <w:highlight w:val="none"/>
        </w:rPr>
      </w:pPr>
      <w:r>
        <w:rPr>
          <w:rFonts w:ascii="宋体"/>
          <w:color w:val="auto"/>
          <w:highlight w:val="none"/>
        </w:rPr>
        <w:t>评价过程中常按装置工艺功能、布置的相对独立性、工艺条件及贮存、处理危险物质的潜在化学能、毒性和危险物质的数量等划分评价单元。</w:t>
      </w:r>
    </w:p>
    <w:p w14:paraId="0FBFE2CD">
      <w:pPr>
        <w:pStyle w:val="17"/>
        <w:widowControl w:val="0"/>
        <w:adjustRightInd w:val="0"/>
        <w:snapToGrid w:val="0"/>
        <w:spacing w:line="360" w:lineRule="auto"/>
        <w:ind w:firstLine="560"/>
        <w:rPr>
          <w:rFonts w:ascii="宋体"/>
          <w:color w:val="auto"/>
          <w:highlight w:val="none"/>
        </w:rPr>
      </w:pPr>
      <w:r>
        <w:rPr>
          <w:rFonts w:ascii="宋体"/>
          <w:color w:val="auto"/>
          <w:highlight w:val="none"/>
        </w:rPr>
        <w:t>由于评价要求和目的不同，并且各类评价方法均有自身的特点，只要达到评价目的，评价单元的划分并不要求绝对一致。</w:t>
      </w:r>
    </w:p>
    <w:p w14:paraId="2B14D1E9">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根据上述常用的评价单元划分原则和方法，以及《安全评价通则》中关于安全评价报告主要内容和要求的规定结合该项目的特点和实际情况，将评价内容划分为以下</w:t>
      </w:r>
      <w:r>
        <w:rPr>
          <w:rFonts w:hint="eastAsia" w:ascii="宋体"/>
          <w:color w:val="auto"/>
          <w:highlight w:val="none"/>
          <w:lang w:val="en-US" w:eastAsia="zh-CN"/>
        </w:rPr>
        <w:t>四</w:t>
      </w:r>
      <w:r>
        <w:rPr>
          <w:rFonts w:ascii="宋体"/>
          <w:color w:val="auto"/>
          <w:highlight w:val="none"/>
        </w:rPr>
        <w:t>个单元：</w:t>
      </w:r>
    </w:p>
    <w:p w14:paraId="6DE469C5">
      <w:pPr>
        <w:pStyle w:val="17"/>
        <w:widowControl w:val="0"/>
        <w:adjustRightInd w:val="0"/>
        <w:snapToGrid w:val="0"/>
        <w:spacing w:line="360" w:lineRule="auto"/>
        <w:ind w:firstLine="560"/>
        <w:rPr>
          <w:rFonts w:ascii="宋体"/>
          <w:color w:val="auto"/>
          <w:highlight w:val="none"/>
        </w:rPr>
      </w:pPr>
      <w:r>
        <w:rPr>
          <w:rFonts w:ascii="宋体"/>
          <w:color w:val="auto"/>
          <w:highlight w:val="none"/>
        </w:rPr>
        <w:t>1、安全管理；</w:t>
      </w:r>
    </w:p>
    <w:p w14:paraId="43587CB1">
      <w:pPr>
        <w:pStyle w:val="17"/>
        <w:widowControl w:val="0"/>
        <w:adjustRightInd w:val="0"/>
        <w:snapToGrid w:val="0"/>
        <w:spacing w:line="360" w:lineRule="auto"/>
        <w:ind w:firstLine="560"/>
        <w:rPr>
          <w:rFonts w:ascii="宋体"/>
          <w:color w:val="auto"/>
          <w:highlight w:val="none"/>
        </w:rPr>
      </w:pPr>
      <w:r>
        <w:rPr>
          <w:rFonts w:ascii="宋体"/>
          <w:color w:val="auto"/>
          <w:highlight w:val="none"/>
        </w:rPr>
        <w:t>2、站址选择及总</w:t>
      </w:r>
      <w:r>
        <w:rPr>
          <w:rFonts w:hint="eastAsia" w:ascii="宋体"/>
          <w:color w:val="auto"/>
          <w:highlight w:val="none"/>
        </w:rPr>
        <w:t>平面</w:t>
      </w:r>
      <w:r>
        <w:rPr>
          <w:rFonts w:ascii="宋体"/>
          <w:color w:val="auto"/>
          <w:highlight w:val="none"/>
        </w:rPr>
        <w:t>布置；</w:t>
      </w:r>
    </w:p>
    <w:p w14:paraId="50938A5E">
      <w:pPr>
        <w:pStyle w:val="17"/>
        <w:widowControl w:val="0"/>
        <w:adjustRightInd w:val="0"/>
        <w:snapToGrid w:val="0"/>
        <w:spacing w:line="360" w:lineRule="auto"/>
        <w:ind w:firstLine="560"/>
        <w:rPr>
          <w:rFonts w:ascii="宋体"/>
          <w:color w:val="auto"/>
          <w:highlight w:val="none"/>
        </w:rPr>
      </w:pPr>
      <w:r>
        <w:rPr>
          <w:rFonts w:ascii="宋体"/>
          <w:color w:val="auto"/>
          <w:highlight w:val="none"/>
        </w:rPr>
        <w:t>3、加油工艺及设施；</w:t>
      </w:r>
    </w:p>
    <w:p w14:paraId="0B399314">
      <w:pPr>
        <w:pStyle w:val="17"/>
        <w:widowControl w:val="0"/>
        <w:adjustRightInd w:val="0"/>
        <w:snapToGrid w:val="0"/>
        <w:spacing w:line="360" w:lineRule="auto"/>
        <w:ind w:firstLine="560"/>
        <w:rPr>
          <w:rFonts w:ascii="宋体"/>
          <w:color w:val="auto"/>
          <w:highlight w:val="none"/>
        </w:rPr>
      </w:pPr>
      <w:r>
        <w:rPr>
          <w:rFonts w:ascii="宋体"/>
          <w:color w:val="auto"/>
          <w:highlight w:val="none"/>
        </w:rPr>
        <w:t>4、其它安全设施</w:t>
      </w:r>
    </w:p>
    <w:p w14:paraId="1DD01CD9">
      <w:pPr>
        <w:pStyle w:val="4"/>
        <w:spacing w:before="312" w:beforeLines="100" w:after="312" w:afterLines="100" w:line="360" w:lineRule="auto"/>
        <w:ind w:firstLine="0"/>
        <w:rPr>
          <w:rFonts w:hint="eastAsia"/>
          <w:color w:val="auto"/>
          <w:highlight w:val="none"/>
        </w:rPr>
      </w:pPr>
      <w:bookmarkStart w:id="35" w:name="_Toc102633908"/>
      <w:bookmarkStart w:id="36" w:name="_Toc102634259"/>
      <w:bookmarkStart w:id="37" w:name="_Toc102633982"/>
      <w:bookmarkStart w:id="38" w:name="_Toc102634408"/>
      <w:bookmarkStart w:id="39" w:name="_Toc22810"/>
    </w:p>
    <w:p w14:paraId="4728414C">
      <w:pPr>
        <w:pStyle w:val="4"/>
        <w:spacing w:before="312" w:beforeLines="100" w:after="312" w:afterLines="100" w:line="360" w:lineRule="auto"/>
        <w:ind w:firstLine="0"/>
        <w:rPr>
          <w:rFonts w:hint="eastAsia"/>
          <w:color w:val="auto"/>
          <w:highlight w:val="none"/>
        </w:rPr>
      </w:pPr>
      <w:r>
        <w:rPr>
          <w:rFonts w:hint="eastAsia"/>
          <w:color w:val="auto"/>
          <w:highlight w:val="none"/>
        </w:rPr>
        <w:t>第二节 评价方法的选择</w:t>
      </w:r>
      <w:bookmarkEnd w:id="35"/>
      <w:bookmarkEnd w:id="36"/>
      <w:bookmarkEnd w:id="37"/>
      <w:bookmarkEnd w:id="38"/>
      <w:bookmarkEnd w:id="39"/>
    </w:p>
    <w:p w14:paraId="112AC8C4">
      <w:pPr>
        <w:pStyle w:val="17"/>
        <w:widowControl w:val="0"/>
        <w:adjustRightInd w:val="0"/>
        <w:snapToGrid w:val="0"/>
        <w:spacing w:line="360" w:lineRule="auto"/>
        <w:ind w:firstLine="560"/>
        <w:rPr>
          <w:rFonts w:ascii="宋体"/>
          <w:color w:val="auto"/>
          <w:highlight w:val="none"/>
        </w:rPr>
      </w:pPr>
      <w:r>
        <w:rPr>
          <w:rFonts w:ascii="宋体"/>
          <w:color w:val="auto"/>
          <w:highlight w:val="none"/>
        </w:rPr>
        <w:t>在进行安全评价时，应该在认真分析并熟悉评价系统的前提下，选择安全评价方法。选择安全评价方法应遵循充分性、系统性、针对性和合理性的原则。</w:t>
      </w:r>
    </w:p>
    <w:p w14:paraId="538B1AF0">
      <w:pPr>
        <w:pStyle w:val="17"/>
        <w:widowControl w:val="0"/>
        <w:adjustRightInd w:val="0"/>
        <w:snapToGrid w:val="0"/>
        <w:spacing w:line="360" w:lineRule="auto"/>
        <w:ind w:firstLine="560"/>
        <w:rPr>
          <w:rFonts w:ascii="宋体"/>
          <w:color w:val="auto"/>
          <w:highlight w:val="none"/>
        </w:rPr>
      </w:pPr>
      <w:r>
        <w:rPr>
          <w:rFonts w:ascii="宋体"/>
          <w:color w:val="auto"/>
          <w:highlight w:val="none"/>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23A7A4B4">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根据本次安全评价的特点，结合</w:t>
      </w:r>
      <w:r>
        <w:rPr>
          <w:rFonts w:hint="eastAsia" w:ascii="宋体"/>
          <w:color w:val="auto"/>
          <w:highlight w:val="none"/>
        </w:rPr>
        <w:t>中国石化山东泰山石油股份有限公司</w:t>
      </w:r>
      <w:r>
        <w:rPr>
          <w:rFonts w:hint="eastAsia" w:ascii="宋体"/>
          <w:color w:val="auto"/>
          <w:highlight w:val="none"/>
          <w:lang w:eastAsia="zh-CN"/>
        </w:rPr>
        <w:t>泰安第九加油站</w:t>
      </w:r>
      <w:r>
        <w:rPr>
          <w:rFonts w:ascii="宋体"/>
          <w:color w:val="auto"/>
          <w:highlight w:val="none"/>
        </w:rPr>
        <w:t>的具体情况，选用安全检查表、事故树法及危险度评价法对加油站进行评价。具体应用如下表所示：</w:t>
      </w:r>
    </w:p>
    <w:p w14:paraId="2063F328">
      <w:pPr>
        <w:pStyle w:val="19"/>
        <w:widowControl w:val="0"/>
        <w:adjustRightInd w:val="0"/>
        <w:snapToGrid w:val="0"/>
        <w:outlineLvl w:val="9"/>
        <w:rPr>
          <w:rFonts w:ascii="黑体" w:hAnsi="黑体"/>
          <w:color w:val="auto"/>
          <w:highlight w:val="none"/>
        </w:rPr>
      </w:pPr>
      <w:r>
        <w:rPr>
          <w:rFonts w:ascii="黑体" w:hAnsi="黑体"/>
          <w:color w:val="auto"/>
          <w:highlight w:val="none"/>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388"/>
        <w:gridCol w:w="2222"/>
        <w:gridCol w:w="2174"/>
        <w:gridCol w:w="1808"/>
      </w:tblGrid>
      <w:tr w14:paraId="3B446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7C115BD6">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序号</w:t>
            </w:r>
          </w:p>
        </w:tc>
        <w:tc>
          <w:tcPr>
            <w:tcW w:w="1285" w:type="pct"/>
            <w:vMerge w:val="restart"/>
            <w:vAlign w:val="center"/>
          </w:tcPr>
          <w:p w14:paraId="407FDEC0">
            <w:pPr>
              <w:pStyle w:val="20"/>
              <w:widowControl w:val="0"/>
              <w:adjustRightInd w:val="0"/>
              <w:snapToGrid w:val="0"/>
              <w:spacing w:line="360" w:lineRule="auto"/>
              <w:rPr>
                <w:rFonts w:ascii="宋体"/>
                <w:b/>
                <w:color w:val="auto"/>
                <w:highlight w:val="none"/>
              </w:rPr>
            </w:pPr>
            <w:r>
              <w:rPr>
                <w:rFonts w:ascii="宋体"/>
                <w:b/>
                <w:bCs/>
                <w:color w:val="auto"/>
                <w:highlight w:val="none"/>
                <w:lang w:val="en-GB"/>
              </w:rPr>
              <w:t>评价单元</w:t>
            </w:r>
          </w:p>
        </w:tc>
        <w:tc>
          <w:tcPr>
            <w:tcW w:w="3339" w:type="pct"/>
            <w:gridSpan w:val="3"/>
            <w:vAlign w:val="center"/>
          </w:tcPr>
          <w:p w14:paraId="677AB48F">
            <w:pPr>
              <w:pStyle w:val="20"/>
              <w:widowControl w:val="0"/>
              <w:adjustRightInd w:val="0"/>
              <w:snapToGrid w:val="0"/>
              <w:spacing w:line="360" w:lineRule="auto"/>
              <w:rPr>
                <w:rFonts w:ascii="宋体"/>
                <w:b/>
                <w:color w:val="auto"/>
                <w:highlight w:val="none"/>
              </w:rPr>
            </w:pPr>
            <w:r>
              <w:rPr>
                <w:rFonts w:ascii="宋体"/>
                <w:b/>
                <w:color w:val="auto"/>
                <w:highlight w:val="none"/>
                <w:lang w:val="en-GB"/>
              </w:rPr>
              <w:t>评价方法</w:t>
            </w:r>
          </w:p>
        </w:tc>
      </w:tr>
      <w:tr w14:paraId="4F0BE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46610B39">
            <w:pPr>
              <w:pStyle w:val="20"/>
              <w:widowControl w:val="0"/>
              <w:adjustRightInd w:val="0"/>
              <w:snapToGrid w:val="0"/>
              <w:spacing w:line="360" w:lineRule="auto"/>
              <w:rPr>
                <w:rFonts w:ascii="宋体"/>
                <w:b/>
                <w:color w:val="auto"/>
                <w:highlight w:val="none"/>
                <w:lang w:val="en-GB"/>
              </w:rPr>
            </w:pPr>
          </w:p>
        </w:tc>
        <w:tc>
          <w:tcPr>
            <w:tcW w:w="1285" w:type="pct"/>
            <w:vMerge w:val="continue"/>
            <w:vAlign w:val="center"/>
          </w:tcPr>
          <w:p w14:paraId="4354371D">
            <w:pPr>
              <w:pStyle w:val="20"/>
              <w:widowControl w:val="0"/>
              <w:adjustRightInd w:val="0"/>
              <w:snapToGrid w:val="0"/>
              <w:spacing w:line="360" w:lineRule="auto"/>
              <w:rPr>
                <w:rFonts w:ascii="宋体"/>
                <w:b/>
                <w:color w:val="auto"/>
                <w:highlight w:val="none"/>
              </w:rPr>
            </w:pPr>
          </w:p>
        </w:tc>
        <w:tc>
          <w:tcPr>
            <w:tcW w:w="1196" w:type="pct"/>
            <w:vAlign w:val="center"/>
          </w:tcPr>
          <w:p w14:paraId="3AFEA6A5">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安全检查表</w:t>
            </w:r>
          </w:p>
        </w:tc>
        <w:tc>
          <w:tcPr>
            <w:tcW w:w="1170" w:type="pct"/>
            <w:vAlign w:val="center"/>
          </w:tcPr>
          <w:p w14:paraId="1A7F0C2D">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危险度评价法</w:t>
            </w:r>
          </w:p>
        </w:tc>
        <w:tc>
          <w:tcPr>
            <w:tcW w:w="972" w:type="pct"/>
            <w:vAlign w:val="center"/>
          </w:tcPr>
          <w:p w14:paraId="450E43E4">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事故树法</w:t>
            </w:r>
          </w:p>
        </w:tc>
      </w:tr>
      <w:tr w14:paraId="15067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7747512">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1</w:t>
            </w:r>
          </w:p>
        </w:tc>
        <w:tc>
          <w:tcPr>
            <w:tcW w:w="1285" w:type="pct"/>
            <w:vAlign w:val="center"/>
          </w:tcPr>
          <w:p w14:paraId="77AD246C">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安全管理单元</w:t>
            </w:r>
          </w:p>
        </w:tc>
        <w:tc>
          <w:tcPr>
            <w:tcW w:w="1196" w:type="pct"/>
            <w:vAlign w:val="center"/>
          </w:tcPr>
          <w:p w14:paraId="2364CD10">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7A1F004A">
            <w:pPr>
              <w:pStyle w:val="20"/>
              <w:widowControl w:val="0"/>
              <w:adjustRightInd w:val="0"/>
              <w:snapToGrid w:val="0"/>
              <w:spacing w:line="360" w:lineRule="auto"/>
              <w:rPr>
                <w:rFonts w:ascii="宋体"/>
                <w:color w:val="auto"/>
                <w:highlight w:val="none"/>
              </w:rPr>
            </w:pPr>
          </w:p>
        </w:tc>
        <w:tc>
          <w:tcPr>
            <w:tcW w:w="972" w:type="pct"/>
            <w:vAlign w:val="center"/>
          </w:tcPr>
          <w:p w14:paraId="55972ED6">
            <w:pPr>
              <w:pStyle w:val="20"/>
              <w:widowControl w:val="0"/>
              <w:adjustRightInd w:val="0"/>
              <w:snapToGrid w:val="0"/>
              <w:spacing w:line="360" w:lineRule="auto"/>
              <w:rPr>
                <w:rFonts w:ascii="宋体"/>
                <w:color w:val="auto"/>
                <w:highlight w:val="none"/>
              </w:rPr>
            </w:pPr>
          </w:p>
        </w:tc>
      </w:tr>
      <w:tr w14:paraId="3B4EB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5F33C178">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2</w:t>
            </w:r>
          </w:p>
        </w:tc>
        <w:tc>
          <w:tcPr>
            <w:tcW w:w="1285" w:type="pct"/>
            <w:vAlign w:val="center"/>
          </w:tcPr>
          <w:p w14:paraId="5FC52626">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站址选择及总平面布置</w:t>
            </w:r>
          </w:p>
        </w:tc>
        <w:tc>
          <w:tcPr>
            <w:tcW w:w="1196" w:type="pct"/>
            <w:vAlign w:val="center"/>
          </w:tcPr>
          <w:p w14:paraId="3F48F08E">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1F6F5754">
            <w:pPr>
              <w:pStyle w:val="20"/>
              <w:widowControl w:val="0"/>
              <w:adjustRightInd w:val="0"/>
              <w:snapToGrid w:val="0"/>
              <w:spacing w:line="360" w:lineRule="auto"/>
              <w:rPr>
                <w:rFonts w:ascii="宋体"/>
                <w:color w:val="auto"/>
                <w:highlight w:val="none"/>
              </w:rPr>
            </w:pPr>
          </w:p>
        </w:tc>
        <w:tc>
          <w:tcPr>
            <w:tcW w:w="972" w:type="pct"/>
            <w:vAlign w:val="center"/>
          </w:tcPr>
          <w:p w14:paraId="4EA5D93B">
            <w:pPr>
              <w:pStyle w:val="20"/>
              <w:widowControl w:val="0"/>
              <w:adjustRightInd w:val="0"/>
              <w:snapToGrid w:val="0"/>
              <w:spacing w:line="360" w:lineRule="auto"/>
              <w:rPr>
                <w:rFonts w:ascii="宋体"/>
                <w:color w:val="auto"/>
                <w:highlight w:val="none"/>
              </w:rPr>
            </w:pPr>
          </w:p>
        </w:tc>
      </w:tr>
      <w:tr w14:paraId="66F02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76DD8E60">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3</w:t>
            </w:r>
          </w:p>
        </w:tc>
        <w:tc>
          <w:tcPr>
            <w:tcW w:w="1285" w:type="pct"/>
            <w:vAlign w:val="center"/>
          </w:tcPr>
          <w:p w14:paraId="33A23140">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加油工艺及设施</w:t>
            </w:r>
          </w:p>
        </w:tc>
        <w:tc>
          <w:tcPr>
            <w:tcW w:w="1196" w:type="pct"/>
            <w:vAlign w:val="center"/>
          </w:tcPr>
          <w:p w14:paraId="4D3121EE">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1309E73D">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972" w:type="pct"/>
            <w:vAlign w:val="center"/>
          </w:tcPr>
          <w:p w14:paraId="6C02E3C8">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r>
      <w:tr w14:paraId="1798E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310E2DD">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4</w:t>
            </w:r>
          </w:p>
        </w:tc>
        <w:tc>
          <w:tcPr>
            <w:tcW w:w="1285" w:type="pct"/>
            <w:vAlign w:val="center"/>
          </w:tcPr>
          <w:p w14:paraId="24FB2A7F">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其它安全设施</w:t>
            </w:r>
          </w:p>
        </w:tc>
        <w:tc>
          <w:tcPr>
            <w:tcW w:w="1196" w:type="pct"/>
            <w:vAlign w:val="center"/>
          </w:tcPr>
          <w:p w14:paraId="588F5A71">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5416D32F">
            <w:pPr>
              <w:pStyle w:val="20"/>
              <w:widowControl w:val="0"/>
              <w:adjustRightInd w:val="0"/>
              <w:snapToGrid w:val="0"/>
              <w:spacing w:line="360" w:lineRule="auto"/>
              <w:rPr>
                <w:rFonts w:ascii="宋体"/>
                <w:color w:val="auto"/>
                <w:highlight w:val="none"/>
              </w:rPr>
            </w:pPr>
          </w:p>
        </w:tc>
        <w:tc>
          <w:tcPr>
            <w:tcW w:w="972" w:type="pct"/>
            <w:vAlign w:val="center"/>
          </w:tcPr>
          <w:p w14:paraId="34376E2F">
            <w:pPr>
              <w:pStyle w:val="20"/>
              <w:widowControl w:val="0"/>
              <w:adjustRightInd w:val="0"/>
              <w:snapToGrid w:val="0"/>
              <w:spacing w:line="360" w:lineRule="auto"/>
              <w:rPr>
                <w:rFonts w:ascii="宋体"/>
                <w:color w:val="auto"/>
                <w:highlight w:val="none"/>
              </w:rPr>
            </w:pPr>
          </w:p>
        </w:tc>
      </w:tr>
    </w:tbl>
    <w:p w14:paraId="761C022E">
      <w:pPr>
        <w:pStyle w:val="17"/>
        <w:widowControl w:val="0"/>
        <w:spacing w:line="360" w:lineRule="auto"/>
        <w:ind w:firstLine="420"/>
        <w:rPr>
          <w:rFonts w:ascii="宋体"/>
          <w:color w:val="auto"/>
          <w:highlight w:val="none"/>
        </w:rPr>
      </w:pPr>
      <w:r>
        <w:rPr>
          <w:rFonts w:ascii="黑体" w:hAnsi="黑体" w:eastAsia="黑体"/>
          <w:color w:val="auto"/>
          <w:sz w:val="21"/>
          <w:szCs w:val="21"/>
          <w:highlight w:val="none"/>
          <w:u w:color="000000"/>
        </w:rPr>
        <w:t>注：表中“★”表示采用的评价方法。</w:t>
      </w:r>
    </w:p>
    <w:p w14:paraId="709F192E">
      <w:pPr>
        <w:pStyle w:val="21"/>
        <w:widowControl w:val="0"/>
        <w:snapToGrid w:val="0"/>
        <w:spacing w:line="360" w:lineRule="auto"/>
        <w:ind w:firstLine="872" w:firstLineChars="400"/>
        <w:rPr>
          <w:color w:val="auto"/>
          <w:highlight w:val="none"/>
        </w:rPr>
      </w:pPr>
    </w:p>
    <w:p w14:paraId="53953895">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rPr>
      </w:pPr>
      <w:r>
        <w:rPr>
          <w:rFonts w:hint="default" w:ascii="宋体"/>
          <w:color w:val="auto"/>
          <w:kern w:val="0"/>
          <w:sz w:val="28"/>
          <w:szCs w:val="20"/>
          <w:lang w:val="en-US" w:eastAsia="zh-CN"/>
        </w:rPr>
        <w:br w:type="page"/>
      </w:r>
      <w:bookmarkStart w:id="40" w:name="_Toc7871"/>
      <w:r>
        <w:rPr>
          <w:rFonts w:hint="eastAsia"/>
          <w:color w:val="auto"/>
        </w:rPr>
        <w:t>第六章  安全对策措施及建议</w:t>
      </w:r>
      <w:bookmarkEnd w:id="40"/>
    </w:p>
    <w:p w14:paraId="61D5A378">
      <w:pPr>
        <w:pStyle w:val="4"/>
        <w:spacing w:before="312" w:beforeLines="100" w:after="312" w:afterLines="100" w:line="360" w:lineRule="auto"/>
        <w:ind w:firstLine="0"/>
        <w:rPr>
          <w:rFonts w:hint="eastAsia"/>
          <w:color w:val="auto"/>
        </w:rPr>
      </w:pPr>
      <w:bookmarkStart w:id="41" w:name="_Toc225046264"/>
      <w:bookmarkStart w:id="42" w:name="_Toc339456079"/>
      <w:bookmarkStart w:id="43" w:name="_Toc2607"/>
      <w:bookmarkStart w:id="44" w:name="_Toc102633915"/>
      <w:bookmarkStart w:id="45" w:name="_Toc242065302"/>
      <w:bookmarkStart w:id="46" w:name="_Toc102634277"/>
      <w:bookmarkStart w:id="47" w:name="_Toc102633989"/>
      <w:bookmarkStart w:id="48" w:name="_Toc348877039"/>
      <w:bookmarkStart w:id="49" w:name="_Toc4961"/>
      <w:bookmarkStart w:id="50" w:name="_Toc102634415"/>
      <w:bookmarkStart w:id="51" w:name="_Toc15033762"/>
      <w:r>
        <w:rPr>
          <w:rFonts w:hint="eastAsia"/>
          <w:color w:val="auto"/>
        </w:rPr>
        <w:t xml:space="preserve">第一节 </w:t>
      </w:r>
      <w:bookmarkEnd w:id="41"/>
      <w:bookmarkEnd w:id="42"/>
      <w:r>
        <w:rPr>
          <w:rFonts w:hint="eastAsia"/>
          <w:color w:val="auto"/>
        </w:rPr>
        <w:t>存在的问题及整改建议</w:t>
      </w:r>
      <w:bookmarkEnd w:id="43"/>
      <w:bookmarkEnd w:id="44"/>
      <w:bookmarkEnd w:id="45"/>
      <w:bookmarkEnd w:id="46"/>
      <w:bookmarkEnd w:id="47"/>
      <w:bookmarkEnd w:id="48"/>
      <w:bookmarkEnd w:id="49"/>
      <w:bookmarkEnd w:id="50"/>
      <w:bookmarkEnd w:id="51"/>
    </w:p>
    <w:p w14:paraId="0EA8F6C9">
      <w:pPr>
        <w:tabs>
          <w:tab w:val="left" w:pos="698"/>
        </w:tabs>
        <w:adjustRightInd w:val="0"/>
        <w:snapToGrid w:val="0"/>
        <w:spacing w:line="360" w:lineRule="auto"/>
        <w:ind w:firstLine="560" w:firstLineChars="200"/>
        <w:jc w:val="left"/>
        <w:rPr>
          <w:rFonts w:ascii="宋体"/>
          <w:color w:val="auto"/>
          <w:kern w:val="0"/>
          <w:sz w:val="28"/>
          <w:szCs w:val="20"/>
        </w:rPr>
      </w:pPr>
      <w:bookmarkStart w:id="52" w:name="_Toc49590281"/>
      <w:bookmarkStart w:id="53" w:name="_Toc15033763"/>
      <w:r>
        <w:rPr>
          <w:rFonts w:ascii="宋体"/>
          <w:color w:val="auto"/>
          <w:kern w:val="0"/>
          <w:sz w:val="28"/>
          <w:szCs w:val="20"/>
        </w:rPr>
        <w:t>通过现场检查和审查有关资料</w:t>
      </w:r>
      <w:r>
        <w:rPr>
          <w:rFonts w:hint="eastAsia" w:ascii="宋体"/>
          <w:color w:val="auto"/>
          <w:kern w:val="0"/>
          <w:sz w:val="28"/>
          <w:szCs w:val="20"/>
        </w:rPr>
        <w:t>可以看出，</w:t>
      </w:r>
      <w:bookmarkEnd w:id="52"/>
      <w:bookmarkEnd w:id="53"/>
      <w:r>
        <w:rPr>
          <w:rFonts w:hint="eastAsia" w:ascii="宋体"/>
          <w:color w:val="auto"/>
          <w:kern w:val="0"/>
          <w:sz w:val="28"/>
          <w:szCs w:val="20"/>
        </w:rPr>
        <w:t>该加油站在安全管理、站址选择及总平面布置、加油工艺及设施、其它设施等方面符合有关法律、标准规范的要求。</w:t>
      </w:r>
    </w:p>
    <w:p w14:paraId="1BE3E7C0">
      <w:pPr>
        <w:widowControl/>
        <w:spacing w:line="360" w:lineRule="auto"/>
        <w:jc w:val="center"/>
        <w:textAlignment w:val="baseline"/>
        <w:rPr>
          <w:rFonts w:eastAsia="黑体"/>
          <w:color w:val="auto"/>
          <w:kern w:val="0"/>
          <w:sz w:val="24"/>
          <w:szCs w:val="24"/>
          <w:u w:color="000000"/>
        </w:rPr>
      </w:pPr>
      <w:r>
        <w:rPr>
          <w:rFonts w:hint="eastAsia" w:ascii="黑体" w:hAnsi="黑体" w:eastAsia="黑体" w:cs="黑体"/>
          <w:color w:val="auto"/>
          <w:kern w:val="0"/>
          <w:sz w:val="24"/>
          <w:szCs w:val="24"/>
          <w:u w:color="000000"/>
        </w:rPr>
        <w:t>表6.1-1</w:t>
      </w:r>
      <w:r>
        <w:rPr>
          <w:rFonts w:hint="eastAsia" w:eastAsia="黑体"/>
          <w:color w:val="auto"/>
          <w:kern w:val="0"/>
          <w:sz w:val="24"/>
          <w:szCs w:val="24"/>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6C6D41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0D5AB4AC">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序号</w:t>
            </w:r>
          </w:p>
        </w:tc>
        <w:tc>
          <w:tcPr>
            <w:tcW w:w="3845" w:type="dxa"/>
            <w:vAlign w:val="center"/>
          </w:tcPr>
          <w:p w14:paraId="32B72F4C">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企业存在的问题</w:t>
            </w:r>
          </w:p>
        </w:tc>
        <w:tc>
          <w:tcPr>
            <w:tcW w:w="4740" w:type="dxa"/>
            <w:vAlign w:val="center"/>
          </w:tcPr>
          <w:p w14:paraId="690342E1">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整改建议措施</w:t>
            </w:r>
          </w:p>
        </w:tc>
      </w:tr>
      <w:tr w14:paraId="683265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59EEED">
            <w:pPr>
              <w:widowControl/>
              <w:tabs>
                <w:tab w:val="left" w:pos="6120"/>
              </w:tabs>
              <w:adjustRightInd w:val="0"/>
              <w:spacing w:before="31" w:beforeLines="10" w:after="31" w:afterLines="10" w:line="320" w:lineRule="exact"/>
              <w:jc w:val="center"/>
              <w:textAlignment w:val="baseline"/>
              <w:rPr>
                <w:rFonts w:hint="eastAsia" w:ascii="宋体" w:hAnsi="宋体" w:eastAsia="宋体"/>
                <w:bCs/>
                <w:color w:val="auto"/>
                <w:kern w:val="0"/>
                <w:position w:val="2"/>
                <w:u w:color="000000"/>
                <w:lang w:eastAsia="zh-CN"/>
              </w:rPr>
            </w:pPr>
            <w:r>
              <w:rPr>
                <w:rFonts w:hint="eastAsia" w:ascii="宋体" w:hAnsi="宋体"/>
                <w:bCs/>
                <w:color w:val="auto"/>
                <w:kern w:val="0"/>
                <w:position w:val="2"/>
                <w:u w:color="000000"/>
                <w:lang w:val="en-US" w:eastAsia="zh-CN"/>
              </w:rPr>
              <w:t>1</w:t>
            </w:r>
          </w:p>
        </w:tc>
        <w:tc>
          <w:tcPr>
            <w:tcW w:w="3845" w:type="dxa"/>
            <w:vAlign w:val="center"/>
          </w:tcPr>
          <w:p w14:paraId="6CAEA933">
            <w:pPr>
              <w:rPr>
                <w:rFonts w:hint="default" w:ascii="宋体" w:hAnsi="宋体" w:eastAsia="宋体"/>
                <w:color w:val="auto"/>
                <w:kern w:val="0"/>
                <w:u w:color="000000"/>
                <w:lang w:val="en-US" w:eastAsia="zh-CN"/>
              </w:rPr>
            </w:pPr>
            <w:r>
              <w:rPr>
                <w:rFonts w:hint="eastAsia" w:ascii="宋体" w:hAnsi="宋体"/>
                <w:color w:val="auto"/>
                <w:lang w:val="en-US" w:eastAsia="zh-CN"/>
              </w:rPr>
              <w:t>油罐操作井内管道介质流向标识不清。</w:t>
            </w:r>
          </w:p>
        </w:tc>
        <w:tc>
          <w:tcPr>
            <w:tcW w:w="4740" w:type="dxa"/>
            <w:shd w:val="clear" w:color="auto" w:fill="auto"/>
            <w:vAlign w:val="center"/>
          </w:tcPr>
          <w:p w14:paraId="590897B6">
            <w:pPr>
              <w:rPr>
                <w:rFonts w:hint="default" w:ascii="宋体" w:hAnsi="宋体" w:eastAsia="宋体" w:cs="Times New Roman"/>
                <w:color w:val="auto"/>
                <w:kern w:val="0"/>
                <w:sz w:val="21"/>
                <w:szCs w:val="21"/>
                <w:u w:color="000000"/>
                <w:lang w:val="en-US" w:eastAsia="zh-CN" w:bidi="ar-SA"/>
              </w:rPr>
            </w:pPr>
            <w:r>
              <w:rPr>
                <w:rFonts w:hint="eastAsia" w:ascii="宋体" w:hAnsi="宋体"/>
                <w:color w:val="auto"/>
                <w:lang w:val="en-US" w:eastAsia="zh-CN"/>
              </w:rPr>
              <w:t>油罐操作井内管道介质流向标识应清晰。</w:t>
            </w:r>
          </w:p>
        </w:tc>
      </w:tr>
      <w:tr w14:paraId="0779A6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FE9D92">
            <w:pPr>
              <w:widowControl/>
              <w:tabs>
                <w:tab w:val="left" w:pos="6120"/>
              </w:tabs>
              <w:adjustRightInd w:val="0"/>
              <w:spacing w:before="31" w:beforeLines="10" w:after="31" w:afterLines="10" w:line="320" w:lineRule="exact"/>
              <w:jc w:val="center"/>
              <w:textAlignment w:val="baseline"/>
              <w:rPr>
                <w:rFonts w:hint="default" w:ascii="宋体" w:hAnsi="宋体"/>
                <w:bCs/>
                <w:color w:val="auto"/>
                <w:kern w:val="0"/>
                <w:position w:val="2"/>
                <w:u w:color="000000"/>
                <w:lang w:val="en-US" w:eastAsia="zh-CN"/>
              </w:rPr>
            </w:pPr>
            <w:r>
              <w:rPr>
                <w:rFonts w:hint="eastAsia" w:ascii="宋体" w:hAnsi="宋体"/>
                <w:bCs/>
                <w:color w:val="auto"/>
                <w:kern w:val="0"/>
                <w:position w:val="2"/>
                <w:u w:color="000000"/>
                <w:lang w:val="en-US" w:eastAsia="zh-CN"/>
              </w:rPr>
              <w:t>2</w:t>
            </w:r>
          </w:p>
        </w:tc>
        <w:tc>
          <w:tcPr>
            <w:tcW w:w="3845" w:type="dxa"/>
            <w:vAlign w:val="center"/>
          </w:tcPr>
          <w:p w14:paraId="0FD4A929">
            <w:pPr>
              <w:rPr>
                <w:rFonts w:hint="eastAsia" w:ascii="宋体" w:hAnsi="宋体" w:eastAsia="宋体"/>
                <w:color w:val="auto"/>
                <w:lang w:val="en-US" w:eastAsia="zh-CN"/>
              </w:rPr>
            </w:pPr>
            <w:r>
              <w:rPr>
                <w:rStyle w:val="11"/>
                <w:rFonts w:hint="eastAsia"/>
                <w:color w:val="auto"/>
                <w:u w:color="000000"/>
                <w:lang w:val="en-US" w:eastAsia="zh-CN"/>
              </w:rPr>
              <w:t>液位仪、测漏仪未</w:t>
            </w:r>
            <w:r>
              <w:rPr>
                <w:rStyle w:val="11"/>
                <w:rFonts w:hint="eastAsia"/>
                <w:color w:val="auto"/>
                <w:u w:color="000000"/>
              </w:rPr>
              <w:t>设不间断电源</w:t>
            </w:r>
            <w:r>
              <w:rPr>
                <w:rStyle w:val="11"/>
                <w:rFonts w:hint="eastAsia"/>
                <w:color w:val="auto"/>
                <w:u w:color="000000"/>
                <w:lang w:eastAsia="zh-CN"/>
              </w:rPr>
              <w:t>。</w:t>
            </w:r>
          </w:p>
        </w:tc>
        <w:tc>
          <w:tcPr>
            <w:tcW w:w="4740" w:type="dxa"/>
            <w:shd w:val="clear" w:color="auto" w:fill="auto"/>
            <w:vAlign w:val="center"/>
          </w:tcPr>
          <w:p w14:paraId="65E288E0">
            <w:pPr>
              <w:rPr>
                <w:rFonts w:hint="eastAsia" w:ascii="宋体" w:hAnsi="宋体" w:eastAsia="宋体" w:cs="Times New Roman"/>
                <w:color w:val="auto"/>
                <w:kern w:val="2"/>
                <w:sz w:val="21"/>
                <w:szCs w:val="21"/>
                <w:lang w:val="en-US" w:eastAsia="zh-CN" w:bidi="ar-SA"/>
              </w:rPr>
            </w:pPr>
            <w:r>
              <w:rPr>
                <w:rStyle w:val="11"/>
                <w:rFonts w:hint="eastAsia"/>
                <w:color w:val="auto"/>
                <w:u w:color="000000"/>
                <w:lang w:val="en-US" w:eastAsia="zh-CN"/>
              </w:rPr>
              <w:t>液位仪、测漏仪应</w:t>
            </w:r>
            <w:r>
              <w:rPr>
                <w:rStyle w:val="11"/>
                <w:rFonts w:hint="eastAsia"/>
                <w:color w:val="auto"/>
                <w:u w:color="000000"/>
              </w:rPr>
              <w:t>设不间断电源</w:t>
            </w:r>
            <w:r>
              <w:rPr>
                <w:rStyle w:val="11"/>
                <w:rFonts w:hint="eastAsia"/>
                <w:color w:val="auto"/>
                <w:u w:color="000000"/>
                <w:lang w:eastAsia="zh-CN"/>
              </w:rPr>
              <w:t>。</w:t>
            </w:r>
          </w:p>
        </w:tc>
      </w:tr>
    </w:tbl>
    <w:p w14:paraId="6F0AEE08">
      <w:pPr>
        <w:tabs>
          <w:tab w:val="left" w:pos="698"/>
        </w:tabs>
        <w:ind w:firstLine="560" w:firstLineChars="200"/>
        <w:jc w:val="left"/>
        <w:rPr>
          <w:rFonts w:ascii="宋体"/>
          <w:color w:val="auto"/>
          <w:kern w:val="0"/>
          <w:sz w:val="28"/>
          <w:szCs w:val="20"/>
        </w:rPr>
      </w:pPr>
      <w:r>
        <w:rPr>
          <w:rFonts w:hint="eastAsia" w:ascii="宋体"/>
          <w:color w:val="auto"/>
          <w:kern w:val="0"/>
          <w:sz w:val="28"/>
          <w:szCs w:val="20"/>
        </w:rPr>
        <w:t>该加油站在安全管理、站址选择及总平面布置、加油工艺及设施、其它设施等方面符合有关法律、标准规范的要求。</w:t>
      </w:r>
    </w:p>
    <w:p w14:paraId="2A98B92E">
      <w:pPr>
        <w:widowControl/>
        <w:spacing w:line="360" w:lineRule="auto"/>
        <w:jc w:val="center"/>
        <w:textAlignment w:val="baseline"/>
        <w:rPr>
          <w:rFonts w:hint="eastAsia" w:ascii="黑体" w:hAnsi="黑体" w:eastAsia="黑体" w:cs="黑体"/>
          <w:color w:val="auto"/>
          <w:kern w:val="0"/>
          <w:sz w:val="24"/>
          <w:szCs w:val="24"/>
          <w:u w:color="000000"/>
        </w:rPr>
      </w:pPr>
    </w:p>
    <w:p w14:paraId="1B98A5AA">
      <w:pPr>
        <w:widowControl/>
        <w:spacing w:line="360" w:lineRule="auto"/>
        <w:jc w:val="center"/>
        <w:textAlignment w:val="baseline"/>
        <w:rPr>
          <w:rFonts w:hint="eastAsia" w:ascii="黑体" w:hAnsi="黑体" w:eastAsia="黑体" w:cs="黑体"/>
          <w:color w:val="auto"/>
          <w:kern w:val="0"/>
          <w:sz w:val="24"/>
          <w:szCs w:val="24"/>
          <w:u w:color="000000"/>
        </w:rPr>
      </w:pPr>
    </w:p>
    <w:p w14:paraId="38E59759">
      <w:pPr>
        <w:pStyle w:val="13"/>
        <w:rPr>
          <w:rFonts w:hint="eastAsia" w:ascii="黑体" w:hAnsi="黑体" w:eastAsia="黑体" w:cs="黑体"/>
          <w:color w:val="auto"/>
          <w:kern w:val="0"/>
          <w:sz w:val="24"/>
          <w:szCs w:val="24"/>
          <w:u w:color="000000"/>
        </w:rPr>
      </w:pPr>
    </w:p>
    <w:p w14:paraId="7F17F787">
      <w:pPr>
        <w:pStyle w:val="13"/>
        <w:rPr>
          <w:rFonts w:hint="eastAsia" w:ascii="黑体" w:hAnsi="黑体" w:eastAsia="黑体" w:cs="黑体"/>
          <w:color w:val="auto"/>
          <w:kern w:val="0"/>
          <w:sz w:val="24"/>
          <w:szCs w:val="24"/>
          <w:u w:color="000000"/>
        </w:rPr>
      </w:pPr>
    </w:p>
    <w:p w14:paraId="6330318A">
      <w:pPr>
        <w:pStyle w:val="13"/>
        <w:rPr>
          <w:rFonts w:hint="eastAsia" w:ascii="黑体" w:hAnsi="黑体" w:eastAsia="黑体" w:cs="黑体"/>
          <w:color w:val="auto"/>
          <w:kern w:val="0"/>
          <w:sz w:val="24"/>
          <w:szCs w:val="24"/>
          <w:u w:color="000000"/>
        </w:rPr>
      </w:pPr>
    </w:p>
    <w:p w14:paraId="2C980133">
      <w:pPr>
        <w:widowControl/>
        <w:spacing w:line="360" w:lineRule="auto"/>
        <w:jc w:val="center"/>
        <w:textAlignment w:val="baseline"/>
        <w:rPr>
          <w:rFonts w:hint="eastAsia" w:ascii="黑体" w:hAnsi="黑体" w:eastAsia="黑体" w:cs="黑体"/>
          <w:color w:val="auto"/>
          <w:kern w:val="0"/>
          <w:sz w:val="24"/>
          <w:szCs w:val="24"/>
          <w:u w:color="000000"/>
        </w:rPr>
      </w:pPr>
    </w:p>
    <w:p w14:paraId="3F025BA9">
      <w:pPr>
        <w:widowControl/>
        <w:spacing w:line="360" w:lineRule="auto"/>
        <w:jc w:val="center"/>
        <w:textAlignment w:val="baseline"/>
        <w:rPr>
          <w:rFonts w:hint="eastAsia" w:ascii="黑体" w:hAnsi="黑体" w:eastAsia="黑体" w:cs="黑体"/>
          <w:color w:val="auto"/>
          <w:kern w:val="0"/>
          <w:sz w:val="24"/>
          <w:szCs w:val="24"/>
          <w:u w:color="000000"/>
        </w:rPr>
      </w:pPr>
    </w:p>
    <w:p w14:paraId="475B9217">
      <w:pPr>
        <w:widowControl/>
        <w:spacing w:line="360" w:lineRule="auto"/>
        <w:jc w:val="center"/>
        <w:textAlignment w:val="baseline"/>
        <w:rPr>
          <w:rFonts w:hint="eastAsia" w:ascii="黑体" w:hAnsi="黑体" w:eastAsia="黑体" w:cs="黑体"/>
          <w:color w:val="auto"/>
          <w:kern w:val="0"/>
          <w:sz w:val="24"/>
          <w:szCs w:val="24"/>
          <w:u w:color="000000"/>
        </w:rPr>
      </w:pPr>
    </w:p>
    <w:p w14:paraId="3D6E16F1">
      <w:pPr>
        <w:widowControl/>
        <w:spacing w:line="360" w:lineRule="auto"/>
        <w:jc w:val="center"/>
        <w:textAlignment w:val="baseline"/>
        <w:rPr>
          <w:rFonts w:hint="eastAsia" w:ascii="黑体" w:hAnsi="黑体" w:eastAsia="黑体" w:cs="黑体"/>
          <w:color w:val="auto"/>
          <w:kern w:val="0"/>
          <w:sz w:val="24"/>
          <w:szCs w:val="24"/>
          <w:u w:color="000000"/>
        </w:rPr>
      </w:pPr>
    </w:p>
    <w:p w14:paraId="67194C2E">
      <w:pPr>
        <w:pStyle w:val="3"/>
        <w:rPr>
          <w:rFonts w:hint="eastAsia"/>
          <w:color w:val="auto"/>
        </w:rPr>
      </w:pPr>
    </w:p>
    <w:p w14:paraId="759BD5CF">
      <w:pPr>
        <w:widowControl/>
        <w:spacing w:line="360" w:lineRule="auto"/>
        <w:jc w:val="center"/>
        <w:textAlignment w:val="baseline"/>
        <w:rPr>
          <w:rFonts w:hint="eastAsia" w:ascii="黑体" w:hAnsi="黑体" w:eastAsia="黑体" w:cs="黑体"/>
          <w:color w:val="auto"/>
          <w:kern w:val="0"/>
          <w:sz w:val="24"/>
          <w:szCs w:val="24"/>
          <w:u w:color="000000"/>
        </w:rPr>
      </w:pPr>
    </w:p>
    <w:p w14:paraId="4F138FB8">
      <w:pPr>
        <w:widowControl/>
        <w:spacing w:line="360" w:lineRule="auto"/>
        <w:jc w:val="center"/>
        <w:textAlignment w:val="baseline"/>
        <w:rPr>
          <w:rFonts w:hint="eastAsia" w:ascii="黑体" w:hAnsi="黑体" w:eastAsia="黑体" w:cs="黑体"/>
          <w:color w:val="auto"/>
          <w:kern w:val="0"/>
          <w:sz w:val="24"/>
          <w:szCs w:val="24"/>
          <w:u w:color="000000"/>
        </w:rPr>
      </w:pPr>
    </w:p>
    <w:p w14:paraId="598FBDE9">
      <w:pPr>
        <w:widowControl/>
        <w:spacing w:line="360" w:lineRule="auto"/>
        <w:jc w:val="center"/>
        <w:textAlignment w:val="baseline"/>
        <w:rPr>
          <w:rFonts w:hint="eastAsia" w:ascii="黑体" w:hAnsi="黑体" w:eastAsia="黑体" w:cs="黑体"/>
          <w:color w:val="auto"/>
          <w:kern w:val="0"/>
          <w:sz w:val="24"/>
          <w:szCs w:val="24"/>
          <w:u w:color="000000"/>
        </w:rPr>
      </w:pPr>
    </w:p>
    <w:p w14:paraId="51AF84D5">
      <w:pPr>
        <w:widowControl/>
        <w:spacing w:line="360" w:lineRule="auto"/>
        <w:jc w:val="center"/>
        <w:textAlignment w:val="baseline"/>
        <w:rPr>
          <w:rFonts w:hint="eastAsia" w:ascii="黑体" w:hAnsi="黑体" w:eastAsia="黑体" w:cs="黑体"/>
          <w:color w:val="auto"/>
          <w:kern w:val="0"/>
          <w:sz w:val="24"/>
          <w:szCs w:val="24"/>
          <w:u w:color="000000"/>
        </w:rPr>
      </w:pPr>
    </w:p>
    <w:p w14:paraId="4D405ADE">
      <w:pPr>
        <w:widowControl/>
        <w:spacing w:line="360" w:lineRule="auto"/>
        <w:jc w:val="center"/>
        <w:textAlignment w:val="baseline"/>
        <w:rPr>
          <w:rFonts w:hint="eastAsia" w:ascii="黑体" w:hAnsi="黑体" w:eastAsia="黑体" w:cs="黑体"/>
          <w:color w:val="auto"/>
          <w:kern w:val="0"/>
          <w:sz w:val="24"/>
          <w:szCs w:val="24"/>
          <w:u w:color="000000"/>
        </w:rPr>
      </w:pPr>
    </w:p>
    <w:p w14:paraId="29E1F660">
      <w:pPr>
        <w:widowControl/>
        <w:spacing w:line="360" w:lineRule="auto"/>
        <w:jc w:val="center"/>
        <w:textAlignment w:val="baseline"/>
        <w:rPr>
          <w:rFonts w:hint="eastAsia" w:ascii="黑体" w:hAnsi="黑体" w:eastAsia="黑体" w:cs="黑体"/>
          <w:color w:val="auto"/>
          <w:kern w:val="0"/>
          <w:sz w:val="24"/>
          <w:szCs w:val="24"/>
          <w:u w:color="000000"/>
        </w:rPr>
      </w:pPr>
    </w:p>
    <w:p w14:paraId="371A5244">
      <w:pPr>
        <w:pStyle w:val="4"/>
        <w:spacing w:before="312" w:beforeLines="100" w:after="312" w:afterLines="100" w:line="360" w:lineRule="auto"/>
        <w:ind w:firstLine="0"/>
        <w:rPr>
          <w:rFonts w:hint="eastAsia"/>
          <w:color w:val="auto"/>
        </w:rPr>
      </w:pPr>
      <w:r>
        <w:rPr>
          <w:rFonts w:hint="eastAsia"/>
          <w:color w:val="auto"/>
        </w:rPr>
        <w:t>第二节 整改复查情况表</w:t>
      </w:r>
    </w:p>
    <w:p w14:paraId="5357C6FC">
      <w:pPr>
        <w:widowControl/>
        <w:spacing w:line="360" w:lineRule="auto"/>
        <w:jc w:val="center"/>
        <w:textAlignment w:val="baseline"/>
        <w:rPr>
          <w:rFonts w:eastAsia="黑体"/>
          <w:color w:val="auto"/>
          <w:kern w:val="0"/>
          <w:sz w:val="24"/>
          <w:szCs w:val="24"/>
          <w:u w:color="000000"/>
        </w:rPr>
      </w:pPr>
      <w:r>
        <w:rPr>
          <w:rFonts w:hint="eastAsia" w:ascii="黑体" w:hAnsi="黑体" w:eastAsia="黑体" w:cs="黑体"/>
          <w:color w:val="auto"/>
          <w:kern w:val="0"/>
          <w:sz w:val="24"/>
          <w:szCs w:val="24"/>
          <w:u w:color="000000"/>
        </w:rPr>
        <w:t>表6.2-1</w:t>
      </w:r>
      <w:r>
        <w:rPr>
          <w:rFonts w:hint="eastAsia" w:eastAsia="黑体"/>
          <w:color w:val="auto"/>
          <w:kern w:val="0"/>
          <w:sz w:val="24"/>
          <w:szCs w:val="24"/>
          <w:u w:color="000000"/>
        </w:rPr>
        <w:t xml:space="preserve">  存在问题整改复查情况表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1"/>
        <w:gridCol w:w="3643"/>
        <w:gridCol w:w="3920"/>
        <w:gridCol w:w="1094"/>
      </w:tblGrid>
      <w:tr w14:paraId="6CCEB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340" w:type="pct"/>
            <w:vAlign w:val="center"/>
          </w:tcPr>
          <w:p w14:paraId="6F07E380">
            <w:pPr>
              <w:pStyle w:val="20"/>
              <w:widowControl w:val="0"/>
              <w:spacing w:line="360" w:lineRule="auto"/>
              <w:rPr>
                <w:rFonts w:ascii="宋体" w:hAnsi="宋体"/>
                <w:b/>
                <w:bCs/>
                <w:color w:val="auto"/>
              </w:rPr>
            </w:pPr>
            <w:r>
              <w:rPr>
                <w:rFonts w:ascii="宋体" w:hAnsi="宋体"/>
                <w:b/>
                <w:bCs/>
                <w:color w:val="auto"/>
              </w:rPr>
              <w:t>序号</w:t>
            </w:r>
          </w:p>
        </w:tc>
        <w:tc>
          <w:tcPr>
            <w:tcW w:w="1961" w:type="pct"/>
            <w:vAlign w:val="center"/>
          </w:tcPr>
          <w:p w14:paraId="4FC47C08">
            <w:pPr>
              <w:pStyle w:val="20"/>
              <w:widowControl w:val="0"/>
              <w:spacing w:line="360" w:lineRule="auto"/>
              <w:rPr>
                <w:rFonts w:ascii="宋体" w:hAnsi="宋体"/>
                <w:b/>
                <w:bCs/>
                <w:color w:val="auto"/>
              </w:rPr>
            </w:pPr>
            <w:r>
              <w:rPr>
                <w:rFonts w:ascii="宋体" w:hAnsi="宋体"/>
                <w:b/>
                <w:bCs/>
                <w:color w:val="auto"/>
              </w:rPr>
              <w:t>存在问题</w:t>
            </w:r>
          </w:p>
        </w:tc>
        <w:tc>
          <w:tcPr>
            <w:tcW w:w="2110" w:type="pct"/>
            <w:vAlign w:val="center"/>
          </w:tcPr>
          <w:p w14:paraId="4A8BA6E9">
            <w:pPr>
              <w:pStyle w:val="20"/>
              <w:widowControl w:val="0"/>
              <w:spacing w:line="360" w:lineRule="auto"/>
              <w:rPr>
                <w:rFonts w:ascii="宋体" w:hAnsi="宋体"/>
                <w:b/>
                <w:bCs/>
                <w:color w:val="auto"/>
              </w:rPr>
            </w:pPr>
            <w:r>
              <w:rPr>
                <w:rFonts w:ascii="宋体" w:hAnsi="宋体"/>
                <w:b/>
                <w:bCs/>
                <w:color w:val="auto"/>
              </w:rPr>
              <w:t>整改措施</w:t>
            </w:r>
          </w:p>
        </w:tc>
        <w:tc>
          <w:tcPr>
            <w:tcW w:w="588" w:type="pct"/>
            <w:vAlign w:val="center"/>
          </w:tcPr>
          <w:p w14:paraId="06E60527">
            <w:pPr>
              <w:pStyle w:val="20"/>
              <w:widowControl w:val="0"/>
              <w:spacing w:line="360" w:lineRule="auto"/>
              <w:rPr>
                <w:rFonts w:ascii="宋体" w:hAnsi="宋体"/>
                <w:b/>
                <w:bCs/>
                <w:color w:val="auto"/>
              </w:rPr>
            </w:pPr>
            <w:r>
              <w:rPr>
                <w:rFonts w:ascii="宋体" w:hAnsi="宋体"/>
                <w:b/>
                <w:bCs/>
                <w:color w:val="auto"/>
              </w:rPr>
              <w:t>复查情况</w:t>
            </w:r>
          </w:p>
        </w:tc>
      </w:tr>
      <w:tr w14:paraId="4FE90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340" w:type="pct"/>
            <w:vAlign w:val="center"/>
          </w:tcPr>
          <w:p w14:paraId="7FE5A872">
            <w:pPr>
              <w:widowControl/>
              <w:tabs>
                <w:tab w:val="left" w:pos="6120"/>
              </w:tabs>
              <w:adjustRightInd w:val="0"/>
              <w:spacing w:before="31" w:beforeLines="10" w:after="31" w:afterLines="10" w:line="320" w:lineRule="exact"/>
              <w:jc w:val="center"/>
              <w:textAlignment w:val="baseline"/>
              <w:rPr>
                <w:rFonts w:hint="eastAsia" w:ascii="宋体" w:hAnsi="宋体" w:eastAsia="宋体" w:cs="Times New Roman"/>
                <w:bCs/>
                <w:color w:val="auto"/>
                <w:kern w:val="0"/>
                <w:position w:val="2"/>
                <w:sz w:val="21"/>
                <w:szCs w:val="21"/>
                <w:u w:color="000000"/>
                <w:lang w:val="en-US" w:eastAsia="zh-CN" w:bidi="ar-SA"/>
              </w:rPr>
            </w:pPr>
            <w:r>
              <w:rPr>
                <w:rFonts w:hint="eastAsia" w:ascii="宋体" w:hAnsi="宋体"/>
                <w:bCs/>
                <w:color w:val="auto"/>
                <w:kern w:val="0"/>
                <w:position w:val="2"/>
                <w:u w:color="000000"/>
                <w:lang w:val="en-US" w:eastAsia="zh-CN"/>
              </w:rPr>
              <w:t>1</w:t>
            </w:r>
          </w:p>
        </w:tc>
        <w:tc>
          <w:tcPr>
            <w:tcW w:w="1961" w:type="pct"/>
            <w:vAlign w:val="center"/>
          </w:tcPr>
          <w:p w14:paraId="742A7964">
            <w:pPr>
              <w:rPr>
                <w:rFonts w:ascii="宋体" w:hAnsi="宋体" w:eastAsia="宋体" w:cs="Times New Roman"/>
                <w:color w:val="auto"/>
                <w:kern w:val="0"/>
                <w:sz w:val="21"/>
                <w:szCs w:val="21"/>
                <w:u w:color="000000"/>
                <w:lang w:val="en-US" w:eastAsia="zh-CN" w:bidi="ar-SA"/>
              </w:rPr>
            </w:pPr>
            <w:r>
              <w:rPr>
                <w:rFonts w:hint="eastAsia" w:ascii="宋体" w:hAnsi="宋体"/>
                <w:color w:val="auto"/>
                <w:lang w:val="en-US" w:eastAsia="zh-CN"/>
              </w:rPr>
              <w:t>油罐操作井内管道介质流向标识不清。</w:t>
            </w:r>
          </w:p>
        </w:tc>
        <w:tc>
          <w:tcPr>
            <w:tcW w:w="2110" w:type="pct"/>
            <w:vAlign w:val="center"/>
          </w:tcPr>
          <w:p w14:paraId="0FFD918C">
            <w:pPr>
              <w:rPr>
                <w:rFonts w:hint="default" w:ascii="宋体" w:hAnsi="宋体" w:eastAsia="宋体" w:cs="Times New Roman"/>
                <w:color w:val="auto"/>
                <w:kern w:val="0"/>
                <w:sz w:val="21"/>
                <w:szCs w:val="21"/>
                <w:u w:color="000000"/>
                <w:lang w:val="en-US" w:eastAsia="zh-CN" w:bidi="ar-SA"/>
              </w:rPr>
            </w:pPr>
            <w:r>
              <w:rPr>
                <w:rFonts w:hint="eastAsia" w:ascii="宋体" w:hAnsi="宋体"/>
                <w:color w:val="auto"/>
                <w:lang w:val="en-US" w:eastAsia="zh-CN"/>
              </w:rPr>
              <w:t>油罐操作井内管道介质流向已重新标识。</w:t>
            </w:r>
          </w:p>
        </w:tc>
        <w:tc>
          <w:tcPr>
            <w:tcW w:w="588" w:type="pct"/>
            <w:vAlign w:val="center"/>
          </w:tcPr>
          <w:p w14:paraId="386C0969">
            <w:pPr>
              <w:spacing w:line="360" w:lineRule="auto"/>
              <w:jc w:val="center"/>
              <w:rPr>
                <w:rFonts w:ascii="宋体" w:hAnsi="宋体" w:cs="宋体"/>
                <w:bCs/>
                <w:color w:val="auto"/>
              </w:rPr>
            </w:pPr>
            <w:r>
              <w:rPr>
                <w:rFonts w:hint="eastAsia" w:ascii="宋体" w:hAnsi="宋体" w:cs="宋体"/>
                <w:bCs/>
                <w:color w:val="auto"/>
                <w:lang w:val="en-US" w:eastAsia="zh-CN"/>
              </w:rPr>
              <w:t>已整改</w:t>
            </w:r>
          </w:p>
        </w:tc>
      </w:tr>
      <w:tr w14:paraId="33DC4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340" w:type="pct"/>
            <w:vAlign w:val="center"/>
          </w:tcPr>
          <w:p w14:paraId="28171C88">
            <w:pPr>
              <w:widowControl/>
              <w:tabs>
                <w:tab w:val="left" w:pos="6120"/>
              </w:tabs>
              <w:adjustRightInd w:val="0"/>
              <w:spacing w:before="31" w:beforeLines="10" w:after="31" w:afterLines="10" w:line="320" w:lineRule="exact"/>
              <w:jc w:val="center"/>
              <w:textAlignment w:val="baseline"/>
              <w:rPr>
                <w:rFonts w:hint="default" w:ascii="宋体" w:hAnsi="宋体"/>
                <w:bCs/>
                <w:color w:val="auto"/>
                <w:kern w:val="0"/>
                <w:position w:val="2"/>
                <w:u w:color="000000"/>
                <w:lang w:val="en-US" w:eastAsia="zh-CN"/>
              </w:rPr>
            </w:pPr>
            <w:r>
              <w:rPr>
                <w:rFonts w:hint="eastAsia" w:ascii="宋体" w:hAnsi="宋体"/>
                <w:bCs/>
                <w:color w:val="auto"/>
                <w:kern w:val="0"/>
                <w:position w:val="2"/>
                <w:u w:color="000000"/>
                <w:lang w:val="en-US" w:eastAsia="zh-CN"/>
              </w:rPr>
              <w:t>2</w:t>
            </w:r>
          </w:p>
        </w:tc>
        <w:tc>
          <w:tcPr>
            <w:tcW w:w="1961" w:type="pct"/>
            <w:vAlign w:val="center"/>
          </w:tcPr>
          <w:p w14:paraId="2E30E59B">
            <w:pPr>
              <w:rPr>
                <w:rStyle w:val="11"/>
                <w:rFonts w:hint="eastAsia" w:eastAsia="宋体"/>
                <w:color w:val="auto"/>
                <w:u w:color="000000"/>
                <w:lang w:val="en-US" w:eastAsia="zh-CN"/>
              </w:rPr>
            </w:pPr>
            <w:r>
              <w:rPr>
                <w:rStyle w:val="11"/>
                <w:rFonts w:hint="eastAsia"/>
                <w:color w:val="auto"/>
                <w:u w:color="000000"/>
                <w:lang w:val="en-US" w:eastAsia="zh-CN"/>
              </w:rPr>
              <w:t>液位仪、测漏仪未</w:t>
            </w:r>
            <w:r>
              <w:rPr>
                <w:rStyle w:val="11"/>
                <w:rFonts w:hint="eastAsia"/>
                <w:color w:val="auto"/>
                <w:u w:color="000000"/>
              </w:rPr>
              <w:t>设不间断电源</w:t>
            </w:r>
            <w:r>
              <w:rPr>
                <w:rStyle w:val="11"/>
                <w:rFonts w:hint="eastAsia"/>
                <w:color w:val="auto"/>
                <w:u w:color="000000"/>
                <w:lang w:eastAsia="zh-CN"/>
              </w:rPr>
              <w:t>。</w:t>
            </w:r>
          </w:p>
        </w:tc>
        <w:tc>
          <w:tcPr>
            <w:tcW w:w="2110" w:type="pct"/>
            <w:vAlign w:val="center"/>
          </w:tcPr>
          <w:p w14:paraId="69F5DFD3">
            <w:pPr>
              <w:rPr>
                <w:rStyle w:val="11"/>
                <w:rFonts w:hint="eastAsia" w:eastAsia="宋体"/>
                <w:color w:val="auto"/>
                <w:u w:color="000000"/>
                <w:lang w:val="en-US" w:eastAsia="zh-CN"/>
              </w:rPr>
            </w:pPr>
            <w:r>
              <w:rPr>
                <w:rStyle w:val="11"/>
                <w:rFonts w:hint="eastAsia"/>
                <w:color w:val="auto"/>
                <w:u w:color="000000"/>
                <w:lang w:val="en-US" w:eastAsia="zh-CN"/>
              </w:rPr>
              <w:t>液位仪、测漏仪已</w:t>
            </w:r>
            <w:r>
              <w:rPr>
                <w:rStyle w:val="11"/>
                <w:rFonts w:hint="eastAsia"/>
                <w:color w:val="auto"/>
                <w:u w:color="000000"/>
              </w:rPr>
              <w:t>设不间断电源</w:t>
            </w:r>
            <w:r>
              <w:rPr>
                <w:rStyle w:val="11"/>
                <w:rFonts w:hint="eastAsia"/>
                <w:color w:val="auto"/>
                <w:u w:color="000000"/>
                <w:lang w:eastAsia="zh-CN"/>
              </w:rPr>
              <w:t>。</w:t>
            </w:r>
          </w:p>
        </w:tc>
        <w:tc>
          <w:tcPr>
            <w:tcW w:w="588" w:type="pct"/>
            <w:vAlign w:val="center"/>
          </w:tcPr>
          <w:p w14:paraId="4853E7D6">
            <w:pPr>
              <w:spacing w:line="360" w:lineRule="auto"/>
              <w:jc w:val="center"/>
              <w:rPr>
                <w:rFonts w:hint="eastAsia" w:ascii="宋体" w:hAnsi="宋体" w:cs="宋体"/>
                <w:bCs/>
                <w:color w:val="auto"/>
                <w:lang w:val="en-US" w:eastAsia="zh-CN"/>
              </w:rPr>
            </w:pPr>
            <w:r>
              <w:rPr>
                <w:rFonts w:hint="eastAsia" w:ascii="宋体" w:hAnsi="宋体" w:cs="宋体"/>
                <w:bCs/>
                <w:color w:val="auto"/>
                <w:lang w:val="en-US" w:eastAsia="zh-CN"/>
              </w:rPr>
              <w:t>已整改</w:t>
            </w:r>
          </w:p>
        </w:tc>
      </w:tr>
      <w:tr w14:paraId="73EA7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45" w:hRule="atLeast"/>
          <w:jc w:val="center"/>
        </w:trPr>
        <w:tc>
          <w:tcPr>
            <w:tcW w:w="5000" w:type="pct"/>
            <w:gridSpan w:val="4"/>
            <w:vAlign w:val="center"/>
          </w:tcPr>
          <w:p w14:paraId="7A2D8FFB">
            <w:pPr>
              <w:pStyle w:val="17"/>
              <w:widowControl w:val="0"/>
              <w:spacing w:line="360" w:lineRule="auto"/>
              <w:ind w:firstLine="420"/>
              <w:jc w:val="left"/>
              <w:rPr>
                <w:rFonts w:ascii="宋体" w:hAnsi="宋体" w:cs="宋体"/>
                <w:color w:val="auto"/>
                <w:kern w:val="2"/>
                <w:szCs w:val="22"/>
              </w:rPr>
            </w:pPr>
            <w:r>
              <w:rPr>
                <w:rFonts w:hint="eastAsia" w:ascii="宋体" w:hAnsi="宋体" w:cs="宋体"/>
                <w:color w:val="auto"/>
                <w:kern w:val="2"/>
                <w:sz w:val="21"/>
                <w:szCs w:val="21"/>
              </w:rPr>
              <w:t>经复查，被评价单位尚有A项（0）项不符合，B项（0）项不符合。符合相关法律法规、标准规范的要求，该加油站现有风险程度可以接受。</w:t>
            </w:r>
          </w:p>
          <w:p w14:paraId="79A2E818">
            <w:pPr>
              <w:pStyle w:val="23"/>
              <w:spacing w:line="360" w:lineRule="auto"/>
              <w:rPr>
                <w:rFonts w:ascii="宋体" w:hAnsi="宋体" w:cs="宋体"/>
                <w:color w:val="auto"/>
              </w:rPr>
            </w:pPr>
          </w:p>
          <w:p w14:paraId="32E090D9">
            <w:pPr>
              <w:pStyle w:val="17"/>
              <w:widowControl w:val="0"/>
              <w:spacing w:line="360" w:lineRule="auto"/>
              <w:ind w:firstLine="199" w:firstLineChars="95"/>
              <w:rPr>
                <w:rFonts w:ascii="宋体" w:hAnsi="宋体" w:cs="宋体"/>
                <w:color w:val="auto"/>
                <w:kern w:val="2"/>
                <w:sz w:val="21"/>
                <w:szCs w:val="21"/>
              </w:rPr>
            </w:pPr>
            <w:r>
              <w:rPr>
                <w:rFonts w:hint="eastAsia" w:ascii="宋体" w:hAnsi="宋体" w:cs="宋体"/>
                <w:color w:val="auto"/>
                <w:kern w:val="2"/>
                <w:sz w:val="21"/>
                <w:szCs w:val="21"/>
              </w:rPr>
              <w:t>评价单位检查人员（签字）：</w:t>
            </w:r>
          </w:p>
          <w:p w14:paraId="19EE1A7D">
            <w:pPr>
              <w:pStyle w:val="23"/>
              <w:spacing w:line="360" w:lineRule="auto"/>
              <w:rPr>
                <w:rFonts w:ascii="宋体" w:hAnsi="宋体" w:cs="宋体"/>
                <w:color w:val="auto"/>
              </w:rPr>
            </w:pPr>
          </w:p>
          <w:p w14:paraId="3431AA07">
            <w:pPr>
              <w:pStyle w:val="23"/>
              <w:spacing w:line="360" w:lineRule="auto"/>
              <w:rPr>
                <w:rFonts w:ascii="宋体" w:hAnsi="宋体" w:cs="宋体"/>
                <w:color w:val="auto"/>
              </w:rPr>
            </w:pPr>
          </w:p>
          <w:p w14:paraId="52D04ACC">
            <w:pPr>
              <w:pStyle w:val="23"/>
              <w:spacing w:line="360" w:lineRule="auto"/>
              <w:rPr>
                <w:rFonts w:ascii="宋体" w:hAnsi="宋体" w:cs="宋体"/>
                <w:color w:val="auto"/>
              </w:rPr>
            </w:pPr>
          </w:p>
          <w:p w14:paraId="586812AC">
            <w:pPr>
              <w:pStyle w:val="23"/>
              <w:spacing w:line="360" w:lineRule="auto"/>
              <w:rPr>
                <w:rFonts w:ascii="宋体" w:hAnsi="宋体" w:cs="宋体"/>
                <w:color w:val="auto"/>
              </w:rPr>
            </w:pPr>
          </w:p>
          <w:p w14:paraId="3B8C0F86">
            <w:pPr>
              <w:pStyle w:val="17"/>
              <w:widowControl w:val="0"/>
              <w:spacing w:line="360" w:lineRule="auto"/>
              <w:ind w:firstLine="0" w:firstLineChars="0"/>
              <w:jc w:val="center"/>
              <w:rPr>
                <w:rFonts w:ascii="宋体" w:hAnsi="宋体" w:cs="宋体"/>
                <w:color w:val="auto"/>
                <w:kern w:val="2"/>
                <w:sz w:val="21"/>
                <w:szCs w:val="21"/>
              </w:rPr>
            </w:pPr>
            <w:r>
              <w:rPr>
                <w:rFonts w:hint="eastAsia" w:ascii="宋体" w:hAnsi="宋体" w:cs="宋体"/>
                <w:color w:val="auto"/>
                <w:kern w:val="2"/>
                <w:sz w:val="21"/>
                <w:szCs w:val="21"/>
              </w:rPr>
              <w:t xml:space="preserve">                                                           年    月    日 </w:t>
            </w:r>
          </w:p>
          <w:p w14:paraId="7C660074">
            <w:pPr>
              <w:pStyle w:val="17"/>
              <w:widowControl w:val="0"/>
              <w:spacing w:line="360" w:lineRule="auto"/>
              <w:ind w:firstLine="0" w:firstLineChars="0"/>
              <w:jc w:val="center"/>
              <w:rPr>
                <w:rFonts w:ascii="宋体" w:hAnsi="宋体" w:cs="宋体"/>
                <w:color w:val="auto"/>
                <w:kern w:val="2"/>
                <w:sz w:val="21"/>
                <w:szCs w:val="21"/>
              </w:rPr>
            </w:pPr>
            <w:r>
              <w:rPr>
                <w:rFonts w:hint="eastAsia" w:ascii="宋体" w:hAnsi="宋体"/>
                <w:color w:val="auto"/>
                <w:kern w:val="2"/>
                <w:sz w:val="21"/>
                <w:szCs w:val="21"/>
              </w:rPr>
              <w:t xml:space="preserve">                                                            </w:t>
            </w:r>
            <w:r>
              <w:rPr>
                <w:rFonts w:ascii="宋体" w:hAnsi="宋体"/>
                <w:color w:val="auto"/>
                <w:kern w:val="2"/>
                <w:sz w:val="21"/>
                <w:szCs w:val="21"/>
              </w:rPr>
              <w:t>（单位盖章）</w:t>
            </w:r>
            <w:r>
              <w:rPr>
                <w:rFonts w:hint="eastAsia" w:ascii="宋体" w:hAnsi="宋体" w:cs="宋体"/>
                <w:color w:val="auto"/>
                <w:kern w:val="2"/>
                <w:sz w:val="21"/>
                <w:szCs w:val="21"/>
              </w:rPr>
              <w:t xml:space="preserve">                                                        </w:t>
            </w:r>
          </w:p>
        </w:tc>
      </w:tr>
      <w:tr w14:paraId="0CA6E4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85" w:hRule="atLeast"/>
          <w:jc w:val="center"/>
        </w:trPr>
        <w:tc>
          <w:tcPr>
            <w:tcW w:w="5000" w:type="pct"/>
            <w:gridSpan w:val="4"/>
          </w:tcPr>
          <w:p w14:paraId="4BE5A468">
            <w:pPr>
              <w:pStyle w:val="23"/>
              <w:spacing w:line="360" w:lineRule="auto"/>
              <w:rPr>
                <w:rFonts w:ascii="宋体" w:hAnsi="宋体"/>
                <w:color w:val="auto"/>
              </w:rPr>
            </w:pPr>
          </w:p>
          <w:p w14:paraId="10624935">
            <w:pPr>
              <w:pStyle w:val="17"/>
              <w:widowControl w:val="0"/>
              <w:spacing w:line="360" w:lineRule="auto"/>
              <w:ind w:firstLine="199" w:firstLineChars="95"/>
              <w:rPr>
                <w:rFonts w:ascii="宋体" w:hAnsi="宋体"/>
                <w:color w:val="auto"/>
                <w:kern w:val="2"/>
                <w:sz w:val="21"/>
                <w:szCs w:val="21"/>
              </w:rPr>
            </w:pPr>
            <w:r>
              <w:rPr>
                <w:rFonts w:ascii="宋体" w:hAnsi="宋体"/>
                <w:color w:val="auto"/>
                <w:kern w:val="2"/>
                <w:sz w:val="21"/>
                <w:szCs w:val="21"/>
              </w:rPr>
              <w:t>被评价单位主要负责人确认（签字）：</w:t>
            </w:r>
          </w:p>
          <w:p w14:paraId="402BA079">
            <w:pPr>
              <w:pStyle w:val="17"/>
              <w:widowControl w:val="0"/>
              <w:spacing w:line="360" w:lineRule="auto"/>
              <w:ind w:firstLine="0" w:firstLineChars="0"/>
              <w:jc w:val="center"/>
              <w:rPr>
                <w:rFonts w:ascii="宋体" w:hAnsi="宋体"/>
                <w:color w:val="auto"/>
                <w:kern w:val="2"/>
                <w:sz w:val="21"/>
                <w:szCs w:val="21"/>
              </w:rPr>
            </w:pPr>
          </w:p>
          <w:p w14:paraId="29969737">
            <w:pPr>
              <w:pStyle w:val="17"/>
              <w:widowControl w:val="0"/>
              <w:spacing w:line="360" w:lineRule="auto"/>
              <w:ind w:firstLine="0" w:firstLineChars="0"/>
              <w:jc w:val="center"/>
              <w:rPr>
                <w:rFonts w:ascii="宋体" w:hAnsi="宋体"/>
                <w:color w:val="auto"/>
                <w:kern w:val="2"/>
                <w:sz w:val="21"/>
                <w:szCs w:val="21"/>
              </w:rPr>
            </w:pPr>
          </w:p>
          <w:p w14:paraId="5549D0B6">
            <w:pPr>
              <w:pStyle w:val="17"/>
              <w:widowControl w:val="0"/>
              <w:spacing w:line="360" w:lineRule="auto"/>
              <w:ind w:firstLine="0" w:firstLineChars="0"/>
              <w:jc w:val="center"/>
              <w:rPr>
                <w:rFonts w:ascii="宋体" w:hAnsi="宋体"/>
                <w:color w:val="auto"/>
                <w:kern w:val="2"/>
                <w:sz w:val="21"/>
                <w:szCs w:val="21"/>
              </w:rPr>
            </w:pPr>
          </w:p>
          <w:p w14:paraId="03AF4B44">
            <w:pPr>
              <w:pStyle w:val="17"/>
              <w:widowControl w:val="0"/>
              <w:spacing w:line="360" w:lineRule="auto"/>
              <w:ind w:firstLine="0" w:firstLineChars="0"/>
              <w:jc w:val="center"/>
              <w:rPr>
                <w:rFonts w:ascii="宋体" w:hAnsi="宋体"/>
                <w:color w:val="auto"/>
                <w:kern w:val="2"/>
                <w:sz w:val="21"/>
                <w:szCs w:val="21"/>
              </w:rPr>
            </w:pPr>
          </w:p>
          <w:p w14:paraId="5BDD6B47">
            <w:pPr>
              <w:pStyle w:val="17"/>
              <w:widowControl w:val="0"/>
              <w:spacing w:line="360" w:lineRule="auto"/>
              <w:ind w:firstLine="0" w:firstLineChars="0"/>
              <w:jc w:val="center"/>
              <w:rPr>
                <w:rFonts w:ascii="宋体" w:hAnsi="宋体"/>
                <w:color w:val="auto"/>
                <w:kern w:val="2"/>
                <w:sz w:val="21"/>
                <w:szCs w:val="21"/>
              </w:rPr>
            </w:pPr>
          </w:p>
          <w:p w14:paraId="535556F8">
            <w:pPr>
              <w:pStyle w:val="17"/>
              <w:widowControl w:val="0"/>
              <w:spacing w:line="360" w:lineRule="auto"/>
              <w:ind w:firstLine="0" w:firstLineChars="0"/>
              <w:jc w:val="center"/>
              <w:rPr>
                <w:rFonts w:ascii="宋体" w:hAnsi="宋体"/>
                <w:color w:val="auto"/>
                <w:kern w:val="2"/>
                <w:sz w:val="21"/>
                <w:szCs w:val="21"/>
              </w:rPr>
            </w:pPr>
          </w:p>
          <w:p w14:paraId="0C083E0A">
            <w:pPr>
              <w:pStyle w:val="17"/>
              <w:widowControl w:val="0"/>
              <w:spacing w:line="360" w:lineRule="auto"/>
              <w:ind w:firstLine="0" w:firstLineChars="0"/>
              <w:jc w:val="center"/>
              <w:rPr>
                <w:rFonts w:ascii="宋体" w:hAnsi="宋体"/>
                <w:color w:val="auto"/>
                <w:kern w:val="2"/>
                <w:sz w:val="21"/>
                <w:szCs w:val="21"/>
              </w:rPr>
            </w:pPr>
          </w:p>
          <w:p w14:paraId="2873A12E">
            <w:pPr>
              <w:pStyle w:val="17"/>
              <w:widowControl w:val="0"/>
              <w:tabs>
                <w:tab w:val="left" w:pos="6690"/>
              </w:tabs>
              <w:spacing w:line="360" w:lineRule="auto"/>
              <w:ind w:firstLine="0" w:firstLineChars="0"/>
              <w:jc w:val="center"/>
              <w:rPr>
                <w:rFonts w:ascii="宋体" w:hAnsi="宋体"/>
                <w:color w:val="auto"/>
                <w:kern w:val="2"/>
                <w:sz w:val="21"/>
                <w:szCs w:val="21"/>
              </w:rPr>
            </w:pPr>
            <w:r>
              <w:rPr>
                <w:rFonts w:hint="eastAsia" w:ascii="宋体" w:hAnsi="宋体"/>
                <w:color w:val="auto"/>
                <w:kern w:val="2"/>
                <w:sz w:val="21"/>
                <w:szCs w:val="21"/>
              </w:rPr>
              <w:t xml:space="preserve">                                                            </w:t>
            </w:r>
            <w:r>
              <w:rPr>
                <w:rFonts w:ascii="宋体" w:hAnsi="宋体"/>
                <w:color w:val="auto"/>
                <w:kern w:val="2"/>
                <w:sz w:val="21"/>
                <w:szCs w:val="21"/>
              </w:rPr>
              <w:t xml:space="preserve">年 </w:t>
            </w:r>
            <w:r>
              <w:rPr>
                <w:rFonts w:hint="eastAsia" w:ascii="宋体" w:hAnsi="宋体"/>
                <w:color w:val="auto"/>
                <w:kern w:val="2"/>
                <w:sz w:val="21"/>
                <w:szCs w:val="21"/>
              </w:rPr>
              <w:t xml:space="preserve">   </w:t>
            </w:r>
            <w:r>
              <w:rPr>
                <w:rFonts w:ascii="宋体" w:hAnsi="宋体"/>
                <w:color w:val="auto"/>
                <w:kern w:val="2"/>
                <w:sz w:val="21"/>
                <w:szCs w:val="21"/>
              </w:rPr>
              <w:t>月</w:t>
            </w:r>
            <w:r>
              <w:rPr>
                <w:rFonts w:hint="eastAsia" w:ascii="宋体" w:hAnsi="宋体"/>
                <w:color w:val="auto"/>
                <w:kern w:val="2"/>
                <w:sz w:val="21"/>
                <w:szCs w:val="21"/>
              </w:rPr>
              <w:t xml:space="preserve">    </w:t>
            </w:r>
            <w:r>
              <w:rPr>
                <w:rFonts w:ascii="宋体" w:hAnsi="宋体"/>
                <w:color w:val="auto"/>
                <w:kern w:val="2"/>
                <w:sz w:val="21"/>
                <w:szCs w:val="21"/>
              </w:rPr>
              <w:t xml:space="preserve">日 </w:t>
            </w:r>
          </w:p>
          <w:p w14:paraId="4C671DC9">
            <w:pPr>
              <w:pStyle w:val="17"/>
              <w:widowControl w:val="0"/>
              <w:spacing w:line="360" w:lineRule="auto"/>
              <w:ind w:firstLine="0" w:firstLineChars="0"/>
              <w:jc w:val="center"/>
              <w:rPr>
                <w:rFonts w:ascii="宋体" w:hAnsi="宋体"/>
                <w:color w:val="auto"/>
                <w:kern w:val="2"/>
                <w:sz w:val="21"/>
                <w:szCs w:val="21"/>
              </w:rPr>
            </w:pPr>
            <w:r>
              <w:rPr>
                <w:rFonts w:ascii="宋体" w:hAnsi="宋体"/>
                <w:color w:val="auto"/>
                <w:kern w:val="2"/>
                <w:sz w:val="21"/>
                <w:szCs w:val="21"/>
              </w:rPr>
              <w:t xml:space="preserve">                                      </w:t>
            </w:r>
            <w:r>
              <w:rPr>
                <w:rFonts w:hint="eastAsia" w:ascii="宋体" w:hAnsi="宋体"/>
                <w:color w:val="auto"/>
                <w:kern w:val="2"/>
                <w:sz w:val="21"/>
                <w:szCs w:val="21"/>
              </w:rPr>
              <w:t xml:space="preserve">                         </w:t>
            </w:r>
            <w:r>
              <w:rPr>
                <w:rFonts w:ascii="宋体" w:hAnsi="宋体"/>
                <w:color w:val="auto"/>
                <w:kern w:val="2"/>
                <w:sz w:val="21"/>
                <w:szCs w:val="21"/>
              </w:rPr>
              <w:t>（单位盖章）</w:t>
            </w:r>
          </w:p>
        </w:tc>
      </w:tr>
    </w:tbl>
    <w:p w14:paraId="48388B43">
      <w:pPr>
        <w:pStyle w:val="4"/>
        <w:spacing w:before="312" w:beforeLines="100" w:after="312" w:afterLines="100" w:line="440" w:lineRule="exact"/>
        <w:ind w:firstLine="0"/>
        <w:rPr>
          <w:rFonts w:hint="eastAsia"/>
          <w:color w:val="auto"/>
        </w:rPr>
      </w:pPr>
    </w:p>
    <w:p w14:paraId="0917AA82">
      <w:pPr>
        <w:pStyle w:val="4"/>
        <w:keepNext w:val="0"/>
        <w:keepLines w:val="0"/>
        <w:pageBreakBefore w:val="0"/>
        <w:widowControl w:val="0"/>
        <w:kinsoku/>
        <w:wordWrap/>
        <w:overflowPunct/>
        <w:topLinePunct w:val="0"/>
        <w:autoSpaceDE/>
        <w:autoSpaceDN/>
        <w:bidi w:val="0"/>
        <w:adjustRightInd/>
        <w:snapToGrid/>
        <w:spacing w:before="312" w:beforeLines="100" w:after="312" w:afterLines="100" w:line="440" w:lineRule="exact"/>
        <w:ind w:firstLine="0"/>
        <w:textAlignment w:val="auto"/>
        <w:rPr>
          <w:rFonts w:hint="eastAsia"/>
          <w:color w:val="auto"/>
        </w:rPr>
      </w:pPr>
      <w:bookmarkStart w:id="54" w:name="_Toc15033767"/>
      <w:bookmarkStart w:id="55" w:name="_Toc102633994"/>
      <w:bookmarkStart w:id="56" w:name="_Toc102634288"/>
      <w:bookmarkStart w:id="57" w:name="_Toc29653"/>
      <w:bookmarkStart w:id="58" w:name="_Toc102633920"/>
      <w:bookmarkStart w:id="59" w:name="_Toc102634420"/>
      <w:bookmarkStart w:id="60" w:name="_Toc18997"/>
      <w:r>
        <w:rPr>
          <w:rFonts w:hint="eastAsia"/>
          <w:color w:val="auto"/>
        </w:rPr>
        <w:t>第二节 评价结论</w:t>
      </w:r>
      <w:bookmarkEnd w:id="54"/>
      <w:bookmarkEnd w:id="55"/>
      <w:bookmarkEnd w:id="56"/>
      <w:bookmarkEnd w:id="57"/>
      <w:bookmarkEnd w:id="58"/>
      <w:bookmarkEnd w:id="59"/>
      <w:bookmarkEnd w:id="60"/>
    </w:p>
    <w:p w14:paraId="29DCC30A">
      <w:pPr>
        <w:pStyle w:val="1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宋体"/>
          <w:snapToGrid w:val="0"/>
          <w:color w:val="auto"/>
        </w:rPr>
      </w:pPr>
      <w:r>
        <w:rPr>
          <w:rFonts w:ascii="宋体"/>
          <w:snapToGrid w:val="0"/>
          <w:color w:val="auto"/>
        </w:rPr>
        <w:t>通过对</w:t>
      </w:r>
      <w:r>
        <w:rPr>
          <w:rFonts w:hint="eastAsia" w:ascii="宋体"/>
          <w:snapToGrid w:val="0"/>
          <w:color w:val="auto"/>
        </w:rPr>
        <w:t>中国石化山东泰山石油股份有限公司</w:t>
      </w:r>
      <w:r>
        <w:rPr>
          <w:rFonts w:hint="eastAsia" w:ascii="宋体"/>
          <w:snapToGrid w:val="0"/>
          <w:color w:val="auto"/>
          <w:lang w:eastAsia="zh-CN"/>
        </w:rPr>
        <w:t>泰安第四十二加油站</w:t>
      </w:r>
      <w:r>
        <w:rPr>
          <w:rFonts w:ascii="宋体"/>
          <w:snapToGrid w:val="0"/>
          <w:color w:val="auto"/>
        </w:rPr>
        <w:t>的经营情况的安全现状评价，评价组认为：</w:t>
      </w:r>
    </w:p>
    <w:p w14:paraId="118FDA97">
      <w:pPr>
        <w:pStyle w:val="1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宋体"/>
          <w:snapToGrid w:val="0"/>
          <w:color w:val="auto"/>
        </w:rPr>
      </w:pPr>
      <w:r>
        <w:rPr>
          <w:rFonts w:hint="eastAsia" w:ascii="宋体"/>
          <w:snapToGrid w:val="0"/>
          <w:color w:val="auto"/>
        </w:rPr>
        <w:t>中国石化山东泰山石油股份有限公司</w:t>
      </w:r>
      <w:r>
        <w:rPr>
          <w:rFonts w:hint="eastAsia" w:ascii="宋体"/>
          <w:snapToGrid w:val="0"/>
          <w:color w:val="auto"/>
          <w:lang w:eastAsia="zh-CN"/>
        </w:rPr>
        <w:t>泰安第四十二加油站</w:t>
      </w:r>
      <w:r>
        <w:rPr>
          <w:rFonts w:ascii="宋体"/>
          <w:snapToGrid w:val="0"/>
          <w:color w:val="auto"/>
        </w:rPr>
        <w:t>周边环境良好、总平面布置符合《汽车加油加气加氢站技术标准》、《建筑设计防火规范》等相关国家标准、行业标准的规定。</w:t>
      </w:r>
    </w:p>
    <w:p w14:paraId="37F0108E">
      <w:pPr>
        <w:pStyle w:val="1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宋体"/>
          <w:snapToGrid w:val="0"/>
          <w:color w:val="auto"/>
        </w:rPr>
      </w:pPr>
      <w:r>
        <w:rPr>
          <w:rFonts w:ascii="宋体"/>
          <w:snapToGrid w:val="0"/>
          <w:color w:val="auto"/>
        </w:rPr>
        <w:t>该站建立健全了安全生产责任制、安全生产规章制度和安全操作规程；编制了生产安全事故应急预案并备案，配备了必要的应急救援器材、设备。</w:t>
      </w:r>
    </w:p>
    <w:p w14:paraId="25AC8AEC">
      <w:pPr>
        <w:pStyle w:val="1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宋体"/>
          <w:snapToGrid w:val="0"/>
          <w:color w:val="auto"/>
        </w:rPr>
      </w:pPr>
      <w:r>
        <w:rPr>
          <w:rFonts w:ascii="宋体"/>
          <w:snapToGrid w:val="0"/>
          <w:color w:val="auto"/>
        </w:rPr>
        <w:t>该加油站危险化学品</w:t>
      </w:r>
      <w:r>
        <w:rPr>
          <w:rFonts w:hint="eastAsia" w:ascii="宋体"/>
          <w:snapToGrid w:val="0"/>
          <w:color w:val="auto"/>
        </w:rPr>
        <w:t>的储存条件</w:t>
      </w:r>
      <w:r>
        <w:rPr>
          <w:rFonts w:ascii="宋体"/>
          <w:snapToGrid w:val="0"/>
          <w:color w:val="auto"/>
        </w:rPr>
        <w:t>满足</w:t>
      </w:r>
      <w:r>
        <w:rPr>
          <w:rFonts w:hint="eastAsia" w:ascii="宋体"/>
          <w:snapToGrid w:val="0"/>
          <w:color w:val="auto"/>
        </w:rPr>
        <w:t>现行法规和标准规范的要求</w:t>
      </w:r>
      <w:r>
        <w:rPr>
          <w:rFonts w:ascii="宋体"/>
          <w:snapToGrid w:val="0"/>
          <w:color w:val="auto"/>
        </w:rPr>
        <w:t>。</w:t>
      </w:r>
    </w:p>
    <w:p w14:paraId="1B434DDB">
      <w:pPr>
        <w:pStyle w:val="1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宋体"/>
          <w:snapToGrid w:val="0"/>
          <w:color w:val="auto"/>
        </w:rPr>
      </w:pPr>
      <w:r>
        <w:rPr>
          <w:rFonts w:ascii="宋体"/>
          <w:snapToGrid w:val="0"/>
          <w:color w:val="auto"/>
        </w:rPr>
        <w:t>针对危险化学品经营中存在的各类危险有害因素，</w:t>
      </w:r>
      <w:r>
        <w:rPr>
          <w:rFonts w:hint="eastAsia" w:ascii="宋体"/>
          <w:snapToGrid w:val="0"/>
          <w:color w:val="auto"/>
        </w:rPr>
        <w:t>该站</w:t>
      </w:r>
      <w:r>
        <w:rPr>
          <w:rFonts w:ascii="宋体"/>
          <w:snapToGrid w:val="0"/>
          <w:color w:val="auto"/>
        </w:rPr>
        <w:t>已采取了相应的安全技术控制措施和安全管理措施。</w:t>
      </w:r>
    </w:p>
    <w:p w14:paraId="7C879FF8">
      <w:pPr>
        <w:pStyle w:val="17"/>
        <w:widowControl w:val="0"/>
        <w:adjustRightInd w:val="0"/>
        <w:snapToGrid w:val="0"/>
        <w:spacing w:line="500" w:lineRule="exact"/>
        <w:ind w:firstLine="562"/>
        <w:rPr>
          <w:b/>
          <w:bCs/>
          <w:color w:val="auto"/>
        </w:rPr>
      </w:pPr>
      <w:r>
        <w:rPr>
          <w:b/>
          <w:bCs/>
          <w:color w:val="auto"/>
        </w:rPr>
        <w:t>综上所述，</w:t>
      </w:r>
      <w:r>
        <w:rPr>
          <w:rFonts w:hint="eastAsia"/>
          <w:b/>
          <w:color w:val="auto"/>
        </w:rPr>
        <w:t>中国石化山东泰山石油股份有限公司</w:t>
      </w:r>
      <w:r>
        <w:rPr>
          <w:rFonts w:hint="eastAsia"/>
          <w:b/>
          <w:color w:val="auto"/>
          <w:lang w:eastAsia="zh-CN"/>
        </w:rPr>
        <w:t>泰安第四十二加油站</w:t>
      </w:r>
      <w:r>
        <w:rPr>
          <w:b/>
          <w:bCs/>
          <w:color w:val="auto"/>
        </w:rPr>
        <w:t>危险化学品经营符合国家有关安全生产的法律法规、技术标准要求，具备经营</w:t>
      </w:r>
      <w:r>
        <w:rPr>
          <w:rFonts w:hint="eastAsia"/>
          <w:b/>
          <w:bCs/>
          <w:color w:val="auto"/>
          <w:lang w:eastAsia="zh-CN"/>
        </w:rPr>
        <w:t>汽油、乙醇汽油、</w:t>
      </w:r>
      <w:r>
        <w:rPr>
          <w:rFonts w:hint="eastAsia"/>
          <w:b/>
          <w:bCs/>
          <w:color w:val="auto"/>
        </w:rPr>
        <w:t>柴油</w:t>
      </w:r>
      <w:r>
        <w:rPr>
          <w:b/>
          <w:bCs/>
          <w:color w:val="auto"/>
        </w:rPr>
        <w:t>的安全条件。</w:t>
      </w:r>
      <w:bookmarkStart w:id="61" w:name="_Toc76827614"/>
      <w:bookmarkStart w:id="62" w:name="_Toc87375115"/>
      <w:bookmarkStart w:id="63" w:name="_Toc102633995"/>
      <w:bookmarkStart w:id="64" w:name="_Toc102633921"/>
      <w:bookmarkStart w:id="65" w:name="_Toc10432"/>
      <w:bookmarkStart w:id="66" w:name="_Toc102634289"/>
      <w:bookmarkStart w:id="67" w:name="_Toc16834"/>
      <w:bookmarkStart w:id="68" w:name="_Toc102634421"/>
    </w:p>
    <w:p w14:paraId="6F683376">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rPr>
      </w:pPr>
      <w:bookmarkStart w:id="69" w:name="_Toc12256"/>
      <w:r>
        <w:rPr>
          <w:rFonts w:hint="eastAsia"/>
          <w:color w:val="auto"/>
        </w:rPr>
        <w:t>第八章  与被评价单位交换意见的结果</w:t>
      </w:r>
      <w:bookmarkEnd w:id="61"/>
      <w:bookmarkEnd w:id="62"/>
      <w:bookmarkEnd w:id="63"/>
      <w:bookmarkEnd w:id="64"/>
      <w:bookmarkEnd w:id="65"/>
      <w:bookmarkEnd w:id="66"/>
      <w:bookmarkEnd w:id="67"/>
      <w:bookmarkEnd w:id="68"/>
      <w:bookmarkEnd w:id="69"/>
    </w:p>
    <w:p w14:paraId="7C6CD356">
      <w:pPr>
        <w:pStyle w:val="17"/>
        <w:widowControl w:val="0"/>
        <w:adjustRightInd w:val="0"/>
        <w:snapToGrid w:val="0"/>
        <w:spacing w:line="360" w:lineRule="auto"/>
        <w:ind w:firstLine="560"/>
        <w:rPr>
          <w:rFonts w:ascii="宋体"/>
          <w:snapToGrid w:val="0"/>
          <w:color w:val="auto"/>
        </w:rPr>
      </w:pPr>
      <w:r>
        <w:rPr>
          <w:rFonts w:ascii="宋体"/>
          <w:snapToGrid w:val="0"/>
          <w:color w:val="auto"/>
        </w:rPr>
        <w:t>我公司受</w:t>
      </w:r>
      <w:r>
        <w:rPr>
          <w:rFonts w:hint="eastAsia" w:ascii="宋体"/>
          <w:snapToGrid w:val="0"/>
          <w:color w:val="auto"/>
        </w:rPr>
        <w:t>中国石化山东泰山石油股份有限公司</w:t>
      </w:r>
      <w:r>
        <w:rPr>
          <w:rFonts w:ascii="宋体"/>
          <w:snapToGrid w:val="0"/>
          <w:color w:val="auto"/>
        </w:rPr>
        <w:t>委托，对</w:t>
      </w:r>
      <w:r>
        <w:rPr>
          <w:rFonts w:hint="eastAsia" w:ascii="宋体"/>
          <w:snapToGrid w:val="0"/>
          <w:color w:val="auto"/>
        </w:rPr>
        <w:t>中国石化山东泰山石油股份有限公司</w:t>
      </w:r>
      <w:r>
        <w:rPr>
          <w:rFonts w:hint="eastAsia" w:ascii="宋体"/>
          <w:snapToGrid w:val="0"/>
          <w:color w:val="auto"/>
          <w:lang w:eastAsia="zh-CN"/>
        </w:rPr>
        <w:t>泰安第四十二加油站</w:t>
      </w:r>
      <w:r>
        <w:rPr>
          <w:rFonts w:ascii="宋体"/>
          <w:snapToGrid w:val="0"/>
          <w:color w:val="auto"/>
        </w:rPr>
        <w:t>进行安全现状评价</w:t>
      </w:r>
      <w:r>
        <w:rPr>
          <w:rFonts w:hint="eastAsia" w:ascii="宋体"/>
          <w:snapToGrid w:val="0"/>
          <w:color w:val="auto"/>
        </w:rPr>
        <w:t>。</w:t>
      </w:r>
      <w:r>
        <w:rPr>
          <w:rFonts w:ascii="宋体"/>
          <w:snapToGrid w:val="0"/>
          <w:color w:val="auto"/>
        </w:rPr>
        <w:t>接受委托后，我公司有关人员与委托方进行了交流，并进行了现场勘查，收集了各种证照、检验检测报告和技术资料，在此基础上开展该加油站的安全评价工作。</w:t>
      </w:r>
    </w:p>
    <w:p w14:paraId="7C11CE2E">
      <w:pPr>
        <w:pStyle w:val="17"/>
        <w:widowControl w:val="0"/>
        <w:adjustRightInd w:val="0"/>
        <w:snapToGrid w:val="0"/>
        <w:spacing w:line="360" w:lineRule="auto"/>
        <w:ind w:firstLine="560"/>
        <w:rPr>
          <w:rFonts w:ascii="宋体"/>
          <w:snapToGrid w:val="0"/>
          <w:color w:val="auto"/>
        </w:rPr>
      </w:pPr>
      <w:r>
        <w:rPr>
          <w:rFonts w:ascii="宋体"/>
          <w:snapToGrid w:val="0"/>
          <w:color w:val="auto"/>
        </w:rPr>
        <w:t>在评价进行过程中，评价组就加油站存在的问题与建设单位多次交流，提出了相应的建议。</w:t>
      </w:r>
      <w:r>
        <w:rPr>
          <w:rFonts w:hint="eastAsia" w:ascii="宋体"/>
          <w:snapToGrid w:val="0"/>
          <w:color w:val="auto"/>
        </w:rPr>
        <w:t>中国石化山东泰山石油股份有限公司</w:t>
      </w:r>
      <w:r>
        <w:rPr>
          <w:rFonts w:hint="eastAsia" w:ascii="宋体"/>
          <w:snapToGrid w:val="0"/>
          <w:color w:val="auto"/>
          <w:lang w:eastAsia="zh-CN"/>
        </w:rPr>
        <w:t>泰安第四十二加油站</w:t>
      </w:r>
      <w:r>
        <w:rPr>
          <w:rFonts w:ascii="宋体"/>
          <w:snapToGrid w:val="0"/>
          <w:color w:val="auto"/>
        </w:rPr>
        <w:t>对评价组提出的建议予以认可</w:t>
      </w:r>
      <w:r>
        <w:rPr>
          <w:rFonts w:hint="eastAsia" w:ascii="宋体"/>
          <w:snapToGrid w:val="0"/>
          <w:color w:val="auto"/>
        </w:rPr>
        <w:t>，</w:t>
      </w:r>
      <w:r>
        <w:rPr>
          <w:rFonts w:ascii="宋体"/>
          <w:snapToGrid w:val="0"/>
          <w:color w:val="auto"/>
        </w:rPr>
        <w:t>企业对提供资料的真实性进行负责。</w:t>
      </w:r>
    </w:p>
    <w:p w14:paraId="0FCAB21E">
      <w:pPr>
        <w:pStyle w:val="17"/>
        <w:widowControl w:val="0"/>
        <w:adjustRightInd w:val="0"/>
        <w:snapToGrid w:val="0"/>
        <w:spacing w:line="360" w:lineRule="auto"/>
        <w:ind w:firstLine="560"/>
        <w:rPr>
          <w:rFonts w:ascii="宋体"/>
          <w:snapToGrid w:val="0"/>
          <w:color w:val="auto"/>
        </w:rPr>
      </w:pPr>
      <w:r>
        <w:rPr>
          <w:rFonts w:ascii="宋体"/>
          <w:snapToGrid w:val="0"/>
          <w:color w:val="auto"/>
        </w:rPr>
        <w:t>评价组在对建设单位补充的文件资料进行确认后，于202</w:t>
      </w:r>
      <w:r>
        <w:rPr>
          <w:rFonts w:hint="eastAsia" w:ascii="宋体"/>
          <w:snapToGrid w:val="0"/>
          <w:color w:val="auto"/>
        </w:rPr>
        <w:t>4</w:t>
      </w:r>
      <w:r>
        <w:rPr>
          <w:rFonts w:ascii="宋体"/>
          <w:snapToGrid w:val="0"/>
          <w:color w:val="auto"/>
        </w:rPr>
        <w:t>年</w:t>
      </w:r>
      <w:r>
        <w:rPr>
          <w:rFonts w:hint="eastAsia" w:ascii="宋体"/>
          <w:snapToGrid w:val="0"/>
          <w:color w:val="auto"/>
          <w:lang w:val="en-US" w:eastAsia="zh-CN"/>
        </w:rPr>
        <w:t>12</w:t>
      </w:r>
      <w:r>
        <w:rPr>
          <w:rFonts w:ascii="宋体"/>
          <w:snapToGrid w:val="0"/>
          <w:color w:val="auto"/>
        </w:rPr>
        <w:t>月编制完成本安全评价报告。</w:t>
      </w:r>
    </w:p>
    <w:p w14:paraId="746ADB3E">
      <w:pPr>
        <w:pStyle w:val="17"/>
        <w:widowControl w:val="0"/>
        <w:adjustRightInd w:val="0"/>
        <w:snapToGrid w:val="0"/>
        <w:spacing w:line="360" w:lineRule="auto"/>
        <w:ind w:firstLine="562"/>
        <w:rPr>
          <w:b/>
          <w:bCs/>
          <w:color w:val="auto"/>
        </w:rPr>
      </w:pPr>
    </w:p>
    <w:p w14:paraId="0C97EBCE">
      <w:pPr>
        <w:pStyle w:val="17"/>
        <w:widowControl w:val="0"/>
        <w:adjustRightInd w:val="0"/>
        <w:snapToGrid w:val="0"/>
        <w:spacing w:line="360" w:lineRule="auto"/>
        <w:ind w:firstLine="562"/>
        <w:rPr>
          <w:b/>
          <w:bCs/>
          <w:color w:val="auto"/>
        </w:rPr>
      </w:pPr>
    </w:p>
    <w:p w14:paraId="3C2D85FD">
      <w:pPr>
        <w:pStyle w:val="17"/>
        <w:widowControl w:val="0"/>
        <w:adjustRightInd w:val="0"/>
        <w:snapToGrid w:val="0"/>
        <w:spacing w:line="360" w:lineRule="auto"/>
        <w:ind w:firstLine="562"/>
        <w:rPr>
          <w:b/>
          <w:bCs/>
          <w:color w:val="auto"/>
        </w:rPr>
      </w:pPr>
    </w:p>
    <w:p w14:paraId="7E4EE4A1">
      <w:pPr>
        <w:pStyle w:val="17"/>
        <w:widowControl w:val="0"/>
        <w:adjustRightInd w:val="0"/>
        <w:snapToGrid w:val="0"/>
        <w:spacing w:line="360" w:lineRule="auto"/>
        <w:ind w:firstLine="562"/>
        <w:rPr>
          <w:b/>
          <w:bCs/>
          <w:color w:val="auto"/>
        </w:rPr>
      </w:pPr>
    </w:p>
    <w:p w14:paraId="7115F598">
      <w:pPr>
        <w:pStyle w:val="17"/>
        <w:widowControl w:val="0"/>
        <w:adjustRightInd w:val="0"/>
        <w:snapToGrid w:val="0"/>
        <w:spacing w:line="360" w:lineRule="auto"/>
        <w:ind w:firstLine="562"/>
        <w:rPr>
          <w:b/>
          <w:bCs/>
          <w:color w:val="auto"/>
        </w:rPr>
      </w:pPr>
    </w:p>
    <w:p w14:paraId="4553A3F8">
      <w:pPr>
        <w:pStyle w:val="17"/>
        <w:widowControl w:val="0"/>
        <w:adjustRightInd w:val="0"/>
        <w:snapToGrid w:val="0"/>
        <w:spacing w:line="360" w:lineRule="auto"/>
        <w:ind w:firstLine="562"/>
        <w:rPr>
          <w:b/>
          <w:bCs/>
          <w:color w:val="auto"/>
        </w:rPr>
      </w:pPr>
    </w:p>
    <w:p w14:paraId="12580CF1">
      <w:pPr>
        <w:pStyle w:val="17"/>
        <w:widowControl w:val="0"/>
        <w:adjustRightInd w:val="0"/>
        <w:snapToGrid w:val="0"/>
        <w:spacing w:line="360" w:lineRule="auto"/>
        <w:ind w:firstLine="562"/>
        <w:rPr>
          <w:b/>
          <w:bCs/>
          <w:color w:val="auto"/>
        </w:rPr>
      </w:pPr>
    </w:p>
    <w:p w14:paraId="05DE3F94">
      <w:pPr>
        <w:pStyle w:val="17"/>
        <w:widowControl w:val="0"/>
        <w:adjustRightInd w:val="0"/>
        <w:snapToGrid w:val="0"/>
        <w:spacing w:line="360" w:lineRule="auto"/>
        <w:ind w:firstLine="562"/>
        <w:rPr>
          <w:b/>
          <w:bCs/>
          <w:color w:val="auto"/>
        </w:rPr>
      </w:pPr>
    </w:p>
    <w:p w14:paraId="01FA90B8">
      <w:pPr>
        <w:pStyle w:val="17"/>
        <w:widowControl w:val="0"/>
        <w:adjustRightInd w:val="0"/>
        <w:snapToGrid w:val="0"/>
        <w:spacing w:line="360" w:lineRule="auto"/>
        <w:ind w:firstLine="562"/>
        <w:rPr>
          <w:b/>
          <w:bCs/>
          <w:color w:val="auto"/>
        </w:rPr>
      </w:pPr>
    </w:p>
    <w:p w14:paraId="4FC49843">
      <w:pPr>
        <w:pStyle w:val="17"/>
        <w:widowControl w:val="0"/>
        <w:adjustRightInd w:val="0"/>
        <w:snapToGrid w:val="0"/>
        <w:spacing w:line="360" w:lineRule="auto"/>
        <w:ind w:firstLine="560"/>
        <w:rPr>
          <w:bCs/>
          <w:color w:val="auto"/>
        </w:rPr>
      </w:pPr>
      <w:r>
        <w:rPr>
          <w:rFonts w:hint="eastAsia"/>
          <w:bCs/>
          <w:color w:val="auto"/>
        </w:rPr>
        <w:t>评价单位公章                              被评价单位公章</w:t>
      </w:r>
    </w:p>
    <w:p w14:paraId="1D087F92">
      <w:pPr>
        <w:pStyle w:val="17"/>
        <w:widowControl w:val="0"/>
        <w:adjustRightInd w:val="0"/>
        <w:snapToGrid w:val="0"/>
        <w:spacing w:line="360" w:lineRule="auto"/>
        <w:ind w:firstLine="562"/>
        <w:rPr>
          <w:b/>
          <w:bCs/>
          <w:color w:val="auto"/>
        </w:rPr>
      </w:pPr>
    </w:p>
    <w:p w14:paraId="1C6DEB42">
      <w:pPr>
        <w:pStyle w:val="22"/>
        <w:widowControl w:val="0"/>
        <w:kinsoku w:val="0"/>
        <w:adjustRightInd w:val="0"/>
        <w:snapToGrid w:val="0"/>
        <w:spacing w:line="360" w:lineRule="auto"/>
        <w:ind w:firstLine="560"/>
        <w:jc w:val="both"/>
        <w:outlineLvl w:val="9"/>
        <w:rPr>
          <w:rFonts w:ascii="宋体"/>
          <w:color w:val="auto"/>
        </w:rPr>
      </w:pPr>
    </w:p>
    <w:p w14:paraId="070B2434">
      <w:pPr>
        <w:pStyle w:val="22"/>
        <w:widowControl w:val="0"/>
        <w:kinsoku w:val="0"/>
        <w:adjustRightInd w:val="0"/>
        <w:snapToGrid w:val="0"/>
        <w:spacing w:line="360" w:lineRule="auto"/>
        <w:ind w:firstLine="560"/>
        <w:jc w:val="both"/>
        <w:outlineLvl w:val="9"/>
        <w:rPr>
          <w:rFonts w:ascii="宋体"/>
          <w:color w:val="auto"/>
        </w:rPr>
      </w:pPr>
    </w:p>
    <w:p w14:paraId="304B6F91">
      <w:pPr>
        <w:pStyle w:val="22"/>
        <w:widowControl w:val="0"/>
        <w:kinsoku w:val="0"/>
        <w:adjustRightInd w:val="0"/>
        <w:snapToGrid w:val="0"/>
        <w:spacing w:line="360" w:lineRule="auto"/>
        <w:ind w:firstLine="560"/>
        <w:jc w:val="both"/>
        <w:outlineLvl w:val="9"/>
        <w:rPr>
          <w:rFonts w:ascii="宋体"/>
          <w:color w:val="auto"/>
        </w:rPr>
      </w:pPr>
    </w:p>
    <w:p w14:paraId="0BCCC975">
      <w:pPr>
        <w:pStyle w:val="22"/>
        <w:widowControl w:val="0"/>
        <w:kinsoku w:val="0"/>
        <w:adjustRightInd w:val="0"/>
        <w:snapToGrid w:val="0"/>
        <w:spacing w:line="360" w:lineRule="auto"/>
        <w:ind w:firstLine="560"/>
        <w:jc w:val="both"/>
        <w:outlineLvl w:val="9"/>
        <w:rPr>
          <w:rFonts w:ascii="宋体"/>
          <w:color w:val="auto"/>
        </w:rPr>
      </w:pPr>
    </w:p>
    <w:p w14:paraId="09AB2C5A">
      <w:pPr>
        <w:keepNext w:val="0"/>
        <w:keepLines w:val="0"/>
        <w:pageBreakBefore w:val="0"/>
        <w:widowControl w:val="0"/>
        <w:kinsoku/>
        <w:wordWrap/>
        <w:overflowPunct/>
        <w:topLinePunct w:val="0"/>
        <w:autoSpaceDE/>
        <w:autoSpaceDN/>
        <w:bidi w:val="0"/>
        <w:adjustRightInd w:val="0"/>
        <w:snapToGrid w:val="0"/>
        <w:spacing w:before="469" w:beforeLines="150" w:after="157" w:afterLines="50"/>
        <w:jc w:val="center"/>
        <w:textAlignment w:val="auto"/>
        <w:rPr>
          <w:rFonts w:hint="eastAsia"/>
          <w:b/>
          <w:sz w:val="32"/>
          <w:szCs w:val="32"/>
        </w:rPr>
      </w:pPr>
      <w:r>
        <w:rPr>
          <w:rFonts w:hint="eastAsia"/>
          <w:b/>
          <w:sz w:val="32"/>
          <w:szCs w:val="32"/>
        </w:rPr>
        <w:t>安全评价人员</w:t>
      </w:r>
    </w:p>
    <w:tbl>
      <w:tblPr>
        <w:tblStyle w:val="9"/>
        <w:tblpPr w:leftFromText="180" w:rightFromText="180" w:vertAnchor="text" w:horzAnchor="page" w:tblpXSpec="center" w:tblpY="613"/>
        <w:tblOverlap w:val="never"/>
        <w:tblW w:w="96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2"/>
        <w:gridCol w:w="1173"/>
        <w:gridCol w:w="2209"/>
        <w:gridCol w:w="1843"/>
        <w:gridCol w:w="1472"/>
        <w:gridCol w:w="1917"/>
      </w:tblGrid>
      <w:tr w14:paraId="4F787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992" w:type="dxa"/>
            <w:noWrap w:val="0"/>
            <w:vAlign w:val="center"/>
          </w:tcPr>
          <w:p w14:paraId="6EA9EF0F">
            <w:pPr>
              <w:jc w:val="center"/>
              <w:rPr>
                <w:rFonts w:hint="eastAsia" w:ascii="宋体" w:hAnsi="宋体" w:eastAsia="宋体" w:cs="宋体"/>
                <w:b/>
                <w:bCs/>
                <w:spacing w:val="6"/>
                <w:sz w:val="24"/>
              </w:rPr>
            </w:pPr>
          </w:p>
        </w:tc>
        <w:tc>
          <w:tcPr>
            <w:tcW w:w="1173" w:type="dxa"/>
            <w:noWrap w:val="0"/>
            <w:vAlign w:val="center"/>
          </w:tcPr>
          <w:p w14:paraId="65B13CCE">
            <w:pPr>
              <w:jc w:val="center"/>
              <w:rPr>
                <w:rFonts w:hint="eastAsia" w:ascii="宋体" w:hAnsi="宋体" w:eastAsia="宋体" w:cs="宋体"/>
                <w:spacing w:val="6"/>
                <w:sz w:val="24"/>
              </w:rPr>
            </w:pPr>
            <w:r>
              <w:rPr>
                <w:rFonts w:hint="eastAsia" w:ascii="宋体" w:hAnsi="宋体" w:eastAsia="宋体" w:cs="宋体"/>
                <w:spacing w:val="6"/>
                <w:sz w:val="24"/>
              </w:rPr>
              <w:t>姓名</w:t>
            </w:r>
          </w:p>
        </w:tc>
        <w:tc>
          <w:tcPr>
            <w:tcW w:w="2209" w:type="dxa"/>
            <w:noWrap w:val="0"/>
            <w:vAlign w:val="center"/>
          </w:tcPr>
          <w:p w14:paraId="759DDDCF">
            <w:pPr>
              <w:jc w:val="center"/>
              <w:rPr>
                <w:rFonts w:hint="eastAsia" w:ascii="宋体" w:hAnsi="宋体" w:eastAsia="宋体" w:cs="宋体"/>
                <w:spacing w:val="6"/>
                <w:sz w:val="24"/>
              </w:rPr>
            </w:pPr>
            <w:r>
              <w:rPr>
                <w:rFonts w:hint="eastAsia" w:ascii="宋体" w:hAnsi="宋体" w:eastAsia="宋体" w:cs="宋体"/>
                <w:spacing w:val="6"/>
                <w:sz w:val="24"/>
              </w:rPr>
              <w:t>资格证书编号</w:t>
            </w:r>
          </w:p>
        </w:tc>
        <w:tc>
          <w:tcPr>
            <w:tcW w:w="1843" w:type="dxa"/>
            <w:noWrap w:val="0"/>
            <w:vAlign w:val="center"/>
          </w:tcPr>
          <w:p w14:paraId="31CB19F6">
            <w:pPr>
              <w:jc w:val="center"/>
              <w:rPr>
                <w:rFonts w:hint="eastAsia" w:ascii="宋体" w:hAnsi="宋体" w:eastAsia="宋体" w:cs="宋体"/>
                <w:spacing w:val="6"/>
                <w:sz w:val="24"/>
                <w:lang w:val="en-US" w:eastAsia="zh-CN"/>
              </w:rPr>
            </w:pPr>
            <w:r>
              <w:rPr>
                <w:rFonts w:hint="eastAsia" w:ascii="宋体" w:hAnsi="宋体" w:cs="宋体"/>
                <w:spacing w:val="6"/>
                <w:sz w:val="24"/>
                <w:lang w:val="en-US" w:eastAsia="zh-CN"/>
              </w:rPr>
              <w:t>专业</w:t>
            </w:r>
          </w:p>
        </w:tc>
        <w:tc>
          <w:tcPr>
            <w:tcW w:w="1472" w:type="dxa"/>
            <w:noWrap w:val="0"/>
            <w:vAlign w:val="center"/>
          </w:tcPr>
          <w:p w14:paraId="38ADF378">
            <w:pPr>
              <w:jc w:val="center"/>
              <w:rPr>
                <w:rFonts w:hint="eastAsia" w:ascii="宋体" w:hAnsi="宋体" w:eastAsia="宋体" w:cs="宋体"/>
                <w:spacing w:val="6"/>
                <w:sz w:val="24"/>
              </w:rPr>
            </w:pPr>
            <w:r>
              <w:rPr>
                <w:rFonts w:hint="eastAsia" w:ascii="宋体" w:hAnsi="宋体" w:eastAsia="宋体" w:cs="宋体"/>
                <w:spacing w:val="6"/>
                <w:sz w:val="24"/>
              </w:rPr>
              <w:t>从业登记</w:t>
            </w:r>
          </w:p>
          <w:p w14:paraId="16350D14">
            <w:pPr>
              <w:jc w:val="center"/>
              <w:rPr>
                <w:rFonts w:hint="eastAsia" w:ascii="宋体" w:hAnsi="宋体" w:eastAsia="宋体" w:cs="宋体"/>
                <w:spacing w:val="6"/>
                <w:sz w:val="24"/>
              </w:rPr>
            </w:pPr>
            <w:r>
              <w:rPr>
                <w:rFonts w:hint="eastAsia" w:ascii="宋体" w:hAnsi="宋体" w:eastAsia="宋体" w:cs="宋体"/>
                <w:spacing w:val="6"/>
                <w:sz w:val="24"/>
              </w:rPr>
              <w:t>编号</w:t>
            </w:r>
          </w:p>
        </w:tc>
        <w:tc>
          <w:tcPr>
            <w:tcW w:w="1917" w:type="dxa"/>
            <w:noWrap w:val="0"/>
            <w:vAlign w:val="center"/>
          </w:tcPr>
          <w:p w14:paraId="643A0F3A">
            <w:pPr>
              <w:jc w:val="center"/>
              <w:rPr>
                <w:rFonts w:hint="eastAsia" w:ascii="宋体" w:hAnsi="宋体" w:eastAsia="宋体" w:cs="宋体"/>
                <w:spacing w:val="6"/>
                <w:sz w:val="24"/>
              </w:rPr>
            </w:pPr>
            <w:r>
              <w:rPr>
                <w:rFonts w:hint="eastAsia" w:ascii="宋体" w:hAnsi="宋体" w:eastAsia="宋体" w:cs="宋体"/>
                <w:spacing w:val="6"/>
                <w:sz w:val="24"/>
              </w:rPr>
              <w:t>签字</w:t>
            </w:r>
          </w:p>
        </w:tc>
      </w:tr>
      <w:tr w14:paraId="7FFD3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noWrap w:val="0"/>
            <w:vAlign w:val="center"/>
          </w:tcPr>
          <w:p w14:paraId="74616A19">
            <w:pPr>
              <w:spacing w:line="360" w:lineRule="auto"/>
              <w:jc w:val="center"/>
              <w:rPr>
                <w:rFonts w:hint="default" w:ascii="宋体" w:hAnsi="宋体" w:eastAsia="宋体" w:cs="宋体"/>
                <w:spacing w:val="6"/>
                <w:sz w:val="24"/>
                <w:lang w:val="en-US" w:eastAsia="zh-CN"/>
              </w:rPr>
            </w:pPr>
            <w:r>
              <w:rPr>
                <w:rFonts w:hint="eastAsia" w:ascii="宋体" w:hAnsi="宋体" w:eastAsia="宋体" w:cs="宋体"/>
                <w:spacing w:val="6"/>
                <w:sz w:val="24"/>
                <w:lang w:val="en-US" w:eastAsia="zh-CN"/>
              </w:rPr>
              <w:t>项目负责人</w:t>
            </w:r>
          </w:p>
        </w:tc>
        <w:tc>
          <w:tcPr>
            <w:tcW w:w="1173" w:type="dxa"/>
            <w:noWrap w:val="0"/>
            <w:vAlign w:val="center"/>
          </w:tcPr>
          <w:p w14:paraId="13B3BAAD">
            <w:pPr>
              <w:spacing w:line="48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辛  磊</w:t>
            </w:r>
          </w:p>
        </w:tc>
        <w:tc>
          <w:tcPr>
            <w:tcW w:w="2209" w:type="dxa"/>
            <w:noWrap w:val="0"/>
            <w:vAlign w:val="center"/>
          </w:tcPr>
          <w:p w14:paraId="1FC9180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1800000000200794</w:t>
            </w:r>
          </w:p>
        </w:tc>
        <w:tc>
          <w:tcPr>
            <w:tcW w:w="1843" w:type="dxa"/>
            <w:noWrap w:val="0"/>
            <w:vAlign w:val="center"/>
          </w:tcPr>
          <w:p w14:paraId="414B1E9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安全</w:t>
            </w:r>
          </w:p>
        </w:tc>
        <w:tc>
          <w:tcPr>
            <w:tcW w:w="1472" w:type="dxa"/>
            <w:noWrap w:val="0"/>
            <w:vAlign w:val="center"/>
          </w:tcPr>
          <w:p w14:paraId="6BBC4A9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021594</w:t>
            </w:r>
          </w:p>
        </w:tc>
        <w:tc>
          <w:tcPr>
            <w:tcW w:w="1917" w:type="dxa"/>
            <w:noWrap w:val="0"/>
            <w:vAlign w:val="center"/>
          </w:tcPr>
          <w:p w14:paraId="4786B5A3">
            <w:pPr>
              <w:jc w:val="center"/>
              <w:rPr>
                <w:rFonts w:hint="eastAsia" w:ascii="宋体" w:hAnsi="宋体" w:eastAsia="宋体" w:cs="宋体"/>
                <w:spacing w:val="6"/>
                <w:sz w:val="24"/>
              </w:rPr>
            </w:pPr>
          </w:p>
        </w:tc>
      </w:tr>
      <w:tr w14:paraId="72D15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vMerge w:val="restart"/>
            <w:noWrap w:val="0"/>
            <w:vAlign w:val="center"/>
          </w:tcPr>
          <w:p w14:paraId="48032231">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项目组成员</w:t>
            </w:r>
          </w:p>
        </w:tc>
        <w:tc>
          <w:tcPr>
            <w:tcW w:w="1173" w:type="dxa"/>
            <w:noWrap w:val="0"/>
            <w:vAlign w:val="center"/>
          </w:tcPr>
          <w:p w14:paraId="34FA1129">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刘卫国</w:t>
            </w:r>
          </w:p>
        </w:tc>
        <w:tc>
          <w:tcPr>
            <w:tcW w:w="2209" w:type="dxa"/>
            <w:noWrap w:val="0"/>
            <w:vAlign w:val="center"/>
          </w:tcPr>
          <w:p w14:paraId="67595AF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0800000000203440</w:t>
            </w:r>
          </w:p>
        </w:tc>
        <w:tc>
          <w:tcPr>
            <w:tcW w:w="1843" w:type="dxa"/>
            <w:noWrap w:val="0"/>
            <w:vAlign w:val="center"/>
          </w:tcPr>
          <w:p w14:paraId="0AA6980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化工机械</w:t>
            </w:r>
          </w:p>
        </w:tc>
        <w:tc>
          <w:tcPr>
            <w:tcW w:w="1472" w:type="dxa"/>
            <w:noWrap w:val="0"/>
            <w:vAlign w:val="center"/>
          </w:tcPr>
          <w:p w14:paraId="6F59BE2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lang w:val="en-US" w:eastAsia="zh-CN" w:bidi="ar"/>
              </w:rPr>
              <w:t>009370</w:t>
            </w:r>
          </w:p>
        </w:tc>
        <w:tc>
          <w:tcPr>
            <w:tcW w:w="1917" w:type="dxa"/>
            <w:noWrap w:val="0"/>
            <w:vAlign w:val="center"/>
          </w:tcPr>
          <w:p w14:paraId="7500444B">
            <w:pPr>
              <w:spacing w:line="480" w:lineRule="auto"/>
              <w:jc w:val="center"/>
              <w:rPr>
                <w:rFonts w:hint="eastAsia" w:ascii="宋体" w:hAnsi="宋体" w:eastAsia="宋体" w:cs="宋体"/>
                <w:spacing w:val="6"/>
                <w:sz w:val="24"/>
              </w:rPr>
            </w:pPr>
          </w:p>
        </w:tc>
      </w:tr>
      <w:tr w14:paraId="4045D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vMerge w:val="continue"/>
            <w:noWrap w:val="0"/>
            <w:vAlign w:val="center"/>
          </w:tcPr>
          <w:p w14:paraId="5570F723">
            <w:pPr>
              <w:spacing w:line="480" w:lineRule="auto"/>
              <w:jc w:val="center"/>
              <w:rPr>
                <w:rFonts w:hint="eastAsia" w:ascii="宋体" w:hAnsi="宋体" w:eastAsia="宋体" w:cs="宋体"/>
                <w:spacing w:val="6"/>
                <w:sz w:val="24"/>
              </w:rPr>
            </w:pPr>
          </w:p>
        </w:tc>
        <w:tc>
          <w:tcPr>
            <w:tcW w:w="1173" w:type="dxa"/>
            <w:noWrap w:val="0"/>
            <w:vAlign w:val="center"/>
          </w:tcPr>
          <w:p w14:paraId="1790D63A">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sz w:val="24"/>
              </w:rPr>
              <w:t>王</w:t>
            </w:r>
            <w:r>
              <w:rPr>
                <w:rFonts w:hint="eastAsia" w:ascii="宋体" w:hAnsi="宋体" w:eastAsia="宋体" w:cs="宋体"/>
                <w:sz w:val="24"/>
                <w:lang w:val="en-US" w:eastAsia="zh-CN"/>
              </w:rPr>
              <w:t xml:space="preserve">  </w:t>
            </w:r>
            <w:r>
              <w:rPr>
                <w:rFonts w:hint="eastAsia" w:ascii="宋体" w:hAnsi="宋体" w:eastAsia="宋体" w:cs="宋体"/>
                <w:sz w:val="24"/>
              </w:rPr>
              <w:t>静</w:t>
            </w:r>
          </w:p>
        </w:tc>
        <w:tc>
          <w:tcPr>
            <w:tcW w:w="2209" w:type="dxa"/>
            <w:noWrap w:val="0"/>
            <w:vAlign w:val="center"/>
          </w:tcPr>
          <w:p w14:paraId="7095A0DC">
            <w:pPr>
              <w:jc w:val="center"/>
              <w:rPr>
                <w:rFonts w:hint="eastAsia" w:ascii="宋体" w:hAnsi="宋体" w:eastAsia="宋体" w:cs="宋体"/>
                <w:kern w:val="2"/>
                <w:sz w:val="24"/>
                <w:szCs w:val="27"/>
                <w:lang w:val="en-US" w:eastAsia="zh-CN" w:bidi="ar-SA"/>
              </w:rPr>
            </w:pPr>
            <w:r>
              <w:rPr>
                <w:rStyle w:val="24"/>
                <w:rFonts w:hint="eastAsia" w:ascii="宋体" w:hAnsi="宋体" w:eastAsia="宋体" w:cs="宋体"/>
                <w:sz w:val="24"/>
              </w:rPr>
              <w:t>1800000000300838</w:t>
            </w:r>
          </w:p>
        </w:tc>
        <w:tc>
          <w:tcPr>
            <w:tcW w:w="1843" w:type="dxa"/>
            <w:noWrap w:val="0"/>
            <w:vAlign w:val="center"/>
          </w:tcPr>
          <w:p w14:paraId="38229FFC">
            <w:pPr>
              <w:jc w:val="center"/>
              <w:rPr>
                <w:rFonts w:hint="default" w:ascii="宋体" w:hAnsi="宋体" w:eastAsia="宋体" w:cs="宋体"/>
                <w:kern w:val="0"/>
                <w:sz w:val="24"/>
                <w:szCs w:val="24"/>
                <w:lang w:val="en-US" w:eastAsia="zh-CN" w:bidi="ar-SA"/>
              </w:rPr>
            </w:pPr>
            <w:r>
              <w:rPr>
                <w:rFonts w:hint="eastAsia" w:ascii="宋体" w:hAnsi="宋体" w:eastAsia="宋体" w:cs="宋体"/>
                <w:sz w:val="24"/>
                <w:lang w:val="en-US" w:eastAsia="zh-CN"/>
              </w:rPr>
              <w:t>电气</w:t>
            </w:r>
          </w:p>
        </w:tc>
        <w:tc>
          <w:tcPr>
            <w:tcW w:w="1472" w:type="dxa"/>
            <w:noWrap w:val="0"/>
            <w:vAlign w:val="center"/>
          </w:tcPr>
          <w:p w14:paraId="7B2F5DD4">
            <w:pPr>
              <w:spacing w:line="48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rPr>
              <w:t>034276</w:t>
            </w:r>
          </w:p>
        </w:tc>
        <w:tc>
          <w:tcPr>
            <w:tcW w:w="1917" w:type="dxa"/>
            <w:noWrap w:val="0"/>
            <w:vAlign w:val="center"/>
          </w:tcPr>
          <w:p w14:paraId="5C9ECD52">
            <w:pPr>
              <w:jc w:val="center"/>
              <w:rPr>
                <w:rFonts w:hint="eastAsia" w:ascii="宋体" w:hAnsi="宋体" w:eastAsia="宋体" w:cs="宋体"/>
                <w:sz w:val="24"/>
              </w:rPr>
            </w:pPr>
          </w:p>
        </w:tc>
      </w:tr>
      <w:tr w14:paraId="76657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vMerge w:val="continue"/>
            <w:noWrap w:val="0"/>
            <w:vAlign w:val="center"/>
          </w:tcPr>
          <w:p w14:paraId="2B2E0270">
            <w:pPr>
              <w:spacing w:line="480" w:lineRule="auto"/>
              <w:jc w:val="center"/>
              <w:rPr>
                <w:rFonts w:hint="eastAsia" w:ascii="宋体" w:hAnsi="宋体" w:eastAsia="宋体" w:cs="宋体"/>
                <w:spacing w:val="6"/>
                <w:sz w:val="24"/>
              </w:rPr>
            </w:pPr>
          </w:p>
        </w:tc>
        <w:tc>
          <w:tcPr>
            <w:tcW w:w="1173" w:type="dxa"/>
            <w:noWrap w:val="0"/>
            <w:vAlign w:val="center"/>
          </w:tcPr>
          <w:p w14:paraId="6EF57F3F">
            <w:pPr>
              <w:jc w:val="center"/>
              <w:rPr>
                <w:rFonts w:hint="eastAsia" w:ascii="宋体" w:hAnsi="宋体" w:eastAsia="宋体" w:cs="宋体"/>
                <w:sz w:val="24"/>
              </w:rPr>
            </w:pPr>
            <w:r>
              <w:rPr>
                <w:rFonts w:hint="eastAsia" w:ascii="Times New Roman" w:hAnsi="Times New Roman" w:eastAsia="宋体" w:cs="Times New Roman"/>
                <w:kern w:val="2"/>
                <w:sz w:val="24"/>
                <w:szCs w:val="24"/>
                <w:lang w:val="en-US" w:eastAsia="zh-CN" w:bidi="ar-SA"/>
              </w:rPr>
              <w:t>马琳琳</w:t>
            </w:r>
          </w:p>
        </w:tc>
        <w:tc>
          <w:tcPr>
            <w:tcW w:w="2209" w:type="dxa"/>
            <w:noWrap w:val="0"/>
            <w:vAlign w:val="center"/>
          </w:tcPr>
          <w:p w14:paraId="7AE0915C">
            <w:pPr>
              <w:jc w:val="center"/>
              <w:rPr>
                <w:rStyle w:val="24"/>
                <w:rFonts w:hint="eastAsia" w:ascii="宋体" w:hAnsi="宋体" w:eastAsia="宋体" w:cs="宋体"/>
                <w:sz w:val="24"/>
              </w:rPr>
            </w:pPr>
            <w:r>
              <w:rPr>
                <w:rFonts w:hint="eastAsia" w:ascii="宋体" w:hAnsi="宋体" w:eastAsia="宋体" w:cs="Times New Roman"/>
                <w:kern w:val="2"/>
                <w:sz w:val="24"/>
                <w:szCs w:val="27"/>
                <w:lang w:val="en-US" w:eastAsia="zh-CN" w:bidi="ar-SA"/>
              </w:rPr>
              <w:t>1800000000200729</w:t>
            </w:r>
          </w:p>
        </w:tc>
        <w:tc>
          <w:tcPr>
            <w:tcW w:w="1843" w:type="dxa"/>
            <w:noWrap w:val="0"/>
            <w:vAlign w:val="center"/>
          </w:tcPr>
          <w:p w14:paraId="6314D82A">
            <w:pPr>
              <w:spacing w:line="480" w:lineRule="auto"/>
              <w:jc w:val="center"/>
              <w:rPr>
                <w:rFonts w:hint="eastAsia" w:ascii="宋体" w:hAnsi="宋体" w:eastAsia="宋体" w:cs="宋体"/>
                <w:sz w:val="24"/>
                <w:lang w:val="en-US" w:eastAsia="zh-CN"/>
              </w:rPr>
            </w:pPr>
            <w:r>
              <w:rPr>
                <w:rFonts w:hint="eastAsia" w:ascii="宋体" w:hAnsi="宋体"/>
                <w:sz w:val="24"/>
                <w:lang w:val="en-US" w:eastAsia="zh-CN"/>
              </w:rPr>
              <w:t>化工工艺</w:t>
            </w:r>
          </w:p>
        </w:tc>
        <w:tc>
          <w:tcPr>
            <w:tcW w:w="1472" w:type="dxa"/>
            <w:noWrap w:val="0"/>
            <w:vAlign w:val="center"/>
          </w:tcPr>
          <w:p w14:paraId="3B3BD68D">
            <w:pPr>
              <w:spacing w:line="480" w:lineRule="auto"/>
              <w:jc w:val="center"/>
              <w:rPr>
                <w:rFonts w:hint="eastAsia" w:ascii="宋体" w:hAnsi="宋体" w:eastAsia="宋体" w:cs="宋体"/>
                <w:kern w:val="0"/>
                <w:sz w:val="24"/>
              </w:rPr>
            </w:pPr>
            <w:r>
              <w:rPr>
                <w:rFonts w:hint="eastAsia" w:ascii="宋体" w:hAnsi="宋体" w:eastAsia="宋体" w:cs="Times New Roman"/>
                <w:kern w:val="2"/>
                <w:sz w:val="24"/>
                <w:szCs w:val="24"/>
                <w:lang w:val="en-US" w:eastAsia="zh-CN" w:bidi="ar-SA"/>
              </w:rPr>
              <w:t>032907</w:t>
            </w:r>
          </w:p>
        </w:tc>
        <w:tc>
          <w:tcPr>
            <w:tcW w:w="1917" w:type="dxa"/>
            <w:noWrap w:val="0"/>
            <w:vAlign w:val="center"/>
          </w:tcPr>
          <w:p w14:paraId="63BE8639">
            <w:pPr>
              <w:jc w:val="center"/>
              <w:rPr>
                <w:rFonts w:hint="eastAsia" w:ascii="宋体" w:hAnsi="宋体" w:eastAsia="宋体" w:cs="宋体"/>
                <w:sz w:val="24"/>
              </w:rPr>
            </w:pPr>
          </w:p>
        </w:tc>
      </w:tr>
      <w:tr w14:paraId="0BBE8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vMerge w:val="continue"/>
            <w:noWrap w:val="0"/>
            <w:vAlign w:val="center"/>
          </w:tcPr>
          <w:p w14:paraId="297F5C63">
            <w:pPr>
              <w:spacing w:line="480" w:lineRule="auto"/>
              <w:jc w:val="center"/>
              <w:rPr>
                <w:rFonts w:hint="eastAsia" w:ascii="宋体" w:hAnsi="宋体" w:eastAsia="宋体" w:cs="宋体"/>
                <w:spacing w:val="6"/>
                <w:sz w:val="24"/>
              </w:rPr>
            </w:pPr>
          </w:p>
        </w:tc>
        <w:tc>
          <w:tcPr>
            <w:tcW w:w="1173" w:type="dxa"/>
            <w:tcBorders>
              <w:bottom w:val="single" w:color="auto" w:sz="4" w:space="0"/>
            </w:tcBorders>
            <w:noWrap w:val="0"/>
            <w:vAlign w:val="center"/>
          </w:tcPr>
          <w:p w14:paraId="739B1E39">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刘振忠</w:t>
            </w:r>
          </w:p>
        </w:tc>
        <w:tc>
          <w:tcPr>
            <w:tcW w:w="2209" w:type="dxa"/>
            <w:tcBorders>
              <w:bottom w:val="single" w:color="auto" w:sz="4" w:space="0"/>
            </w:tcBorders>
            <w:noWrap w:val="0"/>
            <w:vAlign w:val="center"/>
          </w:tcPr>
          <w:p w14:paraId="7BB7621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S011032000110201000509</w:t>
            </w:r>
          </w:p>
        </w:tc>
        <w:tc>
          <w:tcPr>
            <w:tcW w:w="1843" w:type="dxa"/>
            <w:tcBorders>
              <w:bottom w:val="single" w:color="auto" w:sz="4" w:space="0"/>
            </w:tcBorders>
            <w:noWrap w:val="0"/>
            <w:vAlign w:val="center"/>
          </w:tcPr>
          <w:p w14:paraId="396677FC">
            <w:pPr>
              <w:spacing w:line="48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自动化</w:t>
            </w:r>
          </w:p>
        </w:tc>
        <w:tc>
          <w:tcPr>
            <w:tcW w:w="1472" w:type="dxa"/>
            <w:tcBorders>
              <w:bottom w:val="single" w:color="auto" w:sz="4" w:space="0"/>
            </w:tcBorders>
            <w:noWrap w:val="0"/>
            <w:vAlign w:val="center"/>
          </w:tcPr>
          <w:p w14:paraId="3794BABC">
            <w:pPr>
              <w:spacing w:line="48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024120</w:t>
            </w:r>
          </w:p>
        </w:tc>
        <w:tc>
          <w:tcPr>
            <w:tcW w:w="1917" w:type="dxa"/>
            <w:tcBorders>
              <w:bottom w:val="single" w:color="auto" w:sz="4" w:space="0"/>
            </w:tcBorders>
            <w:noWrap w:val="0"/>
            <w:vAlign w:val="center"/>
          </w:tcPr>
          <w:p w14:paraId="13D64D91">
            <w:pPr>
              <w:jc w:val="center"/>
              <w:rPr>
                <w:rFonts w:hint="eastAsia" w:ascii="宋体" w:hAnsi="宋体" w:eastAsia="宋体" w:cs="宋体"/>
                <w:sz w:val="24"/>
              </w:rPr>
            </w:pPr>
          </w:p>
        </w:tc>
      </w:tr>
      <w:tr w14:paraId="1F2FD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noWrap w:val="0"/>
            <w:vAlign w:val="center"/>
          </w:tcPr>
          <w:p w14:paraId="6638A66F">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报告</w:t>
            </w:r>
          </w:p>
          <w:p w14:paraId="1E7D5BB0">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编制人</w:t>
            </w:r>
          </w:p>
        </w:tc>
        <w:tc>
          <w:tcPr>
            <w:tcW w:w="1173" w:type="dxa"/>
            <w:noWrap w:val="0"/>
            <w:vAlign w:val="center"/>
          </w:tcPr>
          <w:p w14:paraId="089410A9">
            <w:pPr>
              <w:spacing w:line="480" w:lineRule="auto"/>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sz w:val="24"/>
                <w:lang w:val="en-US" w:eastAsia="zh-CN"/>
              </w:rPr>
              <w:t>辛  磊</w:t>
            </w:r>
          </w:p>
        </w:tc>
        <w:tc>
          <w:tcPr>
            <w:tcW w:w="2209" w:type="dxa"/>
            <w:noWrap w:val="0"/>
            <w:vAlign w:val="center"/>
          </w:tcPr>
          <w:p w14:paraId="6D05812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Times New Roman"/>
                <w:kern w:val="2"/>
                <w:sz w:val="24"/>
                <w:szCs w:val="27"/>
                <w:lang w:val="en-US" w:eastAsia="zh-CN" w:bidi="ar-SA"/>
              </w:rPr>
            </w:pPr>
            <w:r>
              <w:rPr>
                <w:rFonts w:hint="eastAsia" w:ascii="宋体" w:hAnsi="宋体" w:eastAsia="宋体" w:cs="宋体"/>
                <w:kern w:val="0"/>
                <w:sz w:val="24"/>
                <w:szCs w:val="24"/>
                <w:lang w:val="en-US" w:eastAsia="zh-CN" w:bidi="ar"/>
              </w:rPr>
              <w:t>1800000000200794</w:t>
            </w:r>
          </w:p>
        </w:tc>
        <w:tc>
          <w:tcPr>
            <w:tcW w:w="1843" w:type="dxa"/>
            <w:noWrap w:val="0"/>
            <w:vAlign w:val="center"/>
          </w:tcPr>
          <w:p w14:paraId="1B75761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cs="宋体"/>
                <w:kern w:val="0"/>
                <w:sz w:val="24"/>
                <w:szCs w:val="24"/>
                <w:lang w:val="en-US" w:eastAsia="zh-CN" w:bidi="ar"/>
              </w:rPr>
              <w:t>安全</w:t>
            </w:r>
          </w:p>
        </w:tc>
        <w:tc>
          <w:tcPr>
            <w:tcW w:w="1472" w:type="dxa"/>
            <w:noWrap w:val="0"/>
            <w:vAlign w:val="center"/>
          </w:tcPr>
          <w:p w14:paraId="06BDD30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宋体"/>
                <w:kern w:val="0"/>
                <w:sz w:val="24"/>
                <w:szCs w:val="24"/>
                <w:lang w:val="en-US" w:eastAsia="zh-CN" w:bidi="ar"/>
              </w:rPr>
              <w:t>021594</w:t>
            </w:r>
          </w:p>
        </w:tc>
        <w:tc>
          <w:tcPr>
            <w:tcW w:w="1917" w:type="dxa"/>
            <w:noWrap w:val="0"/>
            <w:vAlign w:val="center"/>
          </w:tcPr>
          <w:p w14:paraId="3EDDBA4E">
            <w:pPr>
              <w:jc w:val="center"/>
              <w:rPr>
                <w:rFonts w:hint="eastAsia" w:ascii="宋体" w:hAnsi="宋体" w:eastAsia="宋体" w:cs="宋体"/>
                <w:spacing w:val="6"/>
                <w:sz w:val="24"/>
              </w:rPr>
            </w:pPr>
          </w:p>
        </w:tc>
      </w:tr>
      <w:tr w14:paraId="211EB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noWrap w:val="0"/>
            <w:vAlign w:val="center"/>
          </w:tcPr>
          <w:p w14:paraId="066CE7B5">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报告</w:t>
            </w:r>
          </w:p>
          <w:p w14:paraId="6AA52E10">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审核人</w:t>
            </w:r>
          </w:p>
        </w:tc>
        <w:tc>
          <w:tcPr>
            <w:tcW w:w="1173" w:type="dxa"/>
            <w:noWrap w:val="0"/>
            <w:vAlign w:val="center"/>
          </w:tcPr>
          <w:p w14:paraId="6C201DCA">
            <w:pPr>
              <w:spacing w:line="480" w:lineRule="auto"/>
              <w:jc w:val="center"/>
              <w:rPr>
                <w:rFonts w:hint="default" w:ascii="宋体" w:hAnsi="宋体" w:eastAsia="宋体" w:cs="宋体"/>
                <w:kern w:val="2"/>
                <w:sz w:val="24"/>
                <w:szCs w:val="24"/>
                <w:lang w:val="en-US" w:eastAsia="zh-CN" w:bidi="ar-SA"/>
              </w:rPr>
            </w:pPr>
            <w:r>
              <w:rPr>
                <w:rFonts w:hint="eastAsia" w:ascii="宋体" w:hAnsi="宋体" w:eastAsia="宋体" w:cs="宋体"/>
                <w:bCs/>
                <w:color w:val="000000"/>
                <w:sz w:val="24"/>
                <w:lang w:eastAsia="zh-CN"/>
              </w:rPr>
              <w:t>崔</w:t>
            </w:r>
            <w:r>
              <w:rPr>
                <w:rFonts w:hint="eastAsia" w:ascii="宋体" w:hAnsi="宋体" w:eastAsia="宋体" w:cs="宋体"/>
                <w:bCs/>
                <w:color w:val="000000"/>
                <w:sz w:val="24"/>
                <w:lang w:val="en-US" w:eastAsia="zh-CN"/>
              </w:rPr>
              <w:t xml:space="preserve">  </w:t>
            </w:r>
            <w:r>
              <w:rPr>
                <w:rFonts w:hint="eastAsia" w:ascii="宋体" w:hAnsi="宋体" w:eastAsia="宋体" w:cs="宋体"/>
                <w:bCs/>
                <w:color w:val="000000"/>
                <w:sz w:val="24"/>
                <w:lang w:eastAsia="zh-CN"/>
              </w:rPr>
              <w:t>强</w:t>
            </w:r>
          </w:p>
        </w:tc>
        <w:tc>
          <w:tcPr>
            <w:tcW w:w="2209" w:type="dxa"/>
            <w:noWrap w:val="0"/>
            <w:vAlign w:val="center"/>
          </w:tcPr>
          <w:p w14:paraId="49B33449">
            <w:pPr>
              <w:spacing w:line="48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1700000000200717</w:t>
            </w:r>
          </w:p>
        </w:tc>
        <w:tc>
          <w:tcPr>
            <w:tcW w:w="1843" w:type="dxa"/>
            <w:noWrap w:val="0"/>
            <w:vAlign w:val="center"/>
          </w:tcPr>
          <w:p w14:paraId="5E695F61">
            <w:pPr>
              <w:spacing w:line="480" w:lineRule="auto"/>
              <w:jc w:val="center"/>
              <w:rPr>
                <w:rFonts w:hint="default" w:ascii="宋体" w:hAnsi="宋体" w:eastAsia="宋体" w:cs="宋体"/>
                <w:kern w:val="2"/>
                <w:sz w:val="24"/>
                <w:szCs w:val="24"/>
                <w:lang w:val="en-US" w:eastAsia="zh-CN" w:bidi="ar-SA"/>
              </w:rPr>
            </w:pPr>
            <w:r>
              <w:rPr>
                <w:rFonts w:hint="eastAsia" w:ascii="宋体" w:hAnsi="宋体"/>
                <w:sz w:val="24"/>
                <w:lang w:val="en-US" w:eastAsia="zh-CN"/>
              </w:rPr>
              <w:t>化工工艺</w:t>
            </w:r>
          </w:p>
        </w:tc>
        <w:tc>
          <w:tcPr>
            <w:tcW w:w="1472" w:type="dxa"/>
            <w:noWrap w:val="0"/>
            <w:vAlign w:val="center"/>
          </w:tcPr>
          <w:p w14:paraId="37C3D70B">
            <w:pPr>
              <w:spacing w:line="48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031071</w:t>
            </w:r>
          </w:p>
        </w:tc>
        <w:tc>
          <w:tcPr>
            <w:tcW w:w="1917" w:type="dxa"/>
            <w:noWrap w:val="0"/>
            <w:vAlign w:val="center"/>
          </w:tcPr>
          <w:p w14:paraId="13817AD4">
            <w:pPr>
              <w:jc w:val="center"/>
              <w:rPr>
                <w:rFonts w:hint="eastAsia" w:ascii="宋体" w:hAnsi="宋体" w:eastAsia="宋体" w:cs="宋体"/>
                <w:kern w:val="2"/>
                <w:sz w:val="24"/>
                <w:szCs w:val="24"/>
                <w:lang w:val="en-US" w:eastAsia="zh-CN" w:bidi="ar-SA"/>
              </w:rPr>
            </w:pPr>
          </w:p>
        </w:tc>
      </w:tr>
      <w:tr w14:paraId="0176A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992" w:type="dxa"/>
            <w:noWrap w:val="0"/>
            <w:vAlign w:val="center"/>
          </w:tcPr>
          <w:p w14:paraId="18B3E51B">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过程</w:t>
            </w:r>
          </w:p>
          <w:p w14:paraId="3B93ECF9">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控制</w:t>
            </w:r>
          </w:p>
          <w:p w14:paraId="2FA0A8AB">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负责人</w:t>
            </w:r>
          </w:p>
        </w:tc>
        <w:tc>
          <w:tcPr>
            <w:tcW w:w="1173" w:type="dxa"/>
            <w:noWrap w:val="0"/>
            <w:vAlign w:val="center"/>
          </w:tcPr>
          <w:p w14:paraId="53ACDF9D">
            <w:pPr>
              <w:spacing w:line="480" w:lineRule="auto"/>
              <w:jc w:val="center"/>
              <w:rPr>
                <w:rFonts w:hint="eastAsia" w:ascii="宋体" w:hAnsi="宋体" w:eastAsia="宋体" w:cs="宋体"/>
                <w:spacing w:val="6"/>
                <w:sz w:val="24"/>
              </w:rPr>
            </w:pPr>
            <w:r>
              <w:rPr>
                <w:rFonts w:hint="eastAsia" w:ascii="宋体" w:hAnsi="宋体" w:eastAsia="宋体" w:cs="宋体"/>
                <w:color w:val="000000"/>
                <w:spacing w:val="6"/>
                <w:sz w:val="24"/>
                <w:lang w:eastAsia="zh-CN"/>
              </w:rPr>
              <w:t>刘云红</w:t>
            </w:r>
          </w:p>
        </w:tc>
        <w:tc>
          <w:tcPr>
            <w:tcW w:w="2209" w:type="dxa"/>
            <w:noWrap w:val="0"/>
            <w:vAlign w:val="center"/>
          </w:tcPr>
          <w:p w14:paraId="60CEB0E7">
            <w:pPr>
              <w:jc w:val="center"/>
              <w:rPr>
                <w:rFonts w:hint="eastAsia" w:ascii="宋体" w:hAnsi="宋体" w:eastAsia="宋体" w:cs="宋体"/>
                <w:sz w:val="24"/>
              </w:rPr>
            </w:pPr>
            <w:r>
              <w:rPr>
                <w:rStyle w:val="24"/>
                <w:rFonts w:hint="eastAsia" w:ascii="宋体" w:hAnsi="宋体" w:eastAsia="宋体" w:cs="宋体"/>
                <w:sz w:val="24"/>
              </w:rPr>
              <w:t>1800000000200682</w:t>
            </w:r>
          </w:p>
        </w:tc>
        <w:tc>
          <w:tcPr>
            <w:tcW w:w="1843" w:type="dxa"/>
            <w:noWrap w:val="0"/>
            <w:vAlign w:val="center"/>
          </w:tcPr>
          <w:p w14:paraId="4DEA7BE8">
            <w:pPr>
              <w:widowControl/>
              <w:jc w:val="center"/>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安全</w:t>
            </w:r>
          </w:p>
        </w:tc>
        <w:tc>
          <w:tcPr>
            <w:tcW w:w="1472" w:type="dxa"/>
            <w:noWrap w:val="0"/>
            <w:vAlign w:val="center"/>
          </w:tcPr>
          <w:p w14:paraId="7C58524D">
            <w:pPr>
              <w:widowControl/>
              <w:jc w:val="center"/>
              <w:rPr>
                <w:rFonts w:hint="eastAsia" w:ascii="宋体" w:hAnsi="宋体" w:eastAsia="宋体" w:cs="宋体"/>
                <w:sz w:val="24"/>
              </w:rPr>
            </w:pPr>
            <w:r>
              <w:rPr>
                <w:rFonts w:hint="eastAsia" w:ascii="宋体" w:hAnsi="宋体" w:eastAsia="宋体" w:cs="宋体"/>
                <w:kern w:val="0"/>
                <w:sz w:val="24"/>
                <w:lang w:bidi="ar"/>
              </w:rPr>
              <w:t>024118</w:t>
            </w:r>
          </w:p>
        </w:tc>
        <w:tc>
          <w:tcPr>
            <w:tcW w:w="1917" w:type="dxa"/>
            <w:noWrap w:val="0"/>
            <w:vAlign w:val="center"/>
          </w:tcPr>
          <w:p w14:paraId="372A5CF3">
            <w:pPr>
              <w:spacing w:line="480" w:lineRule="auto"/>
              <w:jc w:val="center"/>
              <w:rPr>
                <w:rFonts w:hint="eastAsia" w:ascii="宋体" w:hAnsi="宋体" w:eastAsia="宋体" w:cs="宋体"/>
                <w:spacing w:val="6"/>
                <w:sz w:val="24"/>
              </w:rPr>
            </w:pPr>
          </w:p>
        </w:tc>
      </w:tr>
      <w:tr w14:paraId="08BC8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jc w:val="center"/>
        </w:trPr>
        <w:tc>
          <w:tcPr>
            <w:tcW w:w="992" w:type="dxa"/>
            <w:noWrap w:val="0"/>
            <w:vAlign w:val="center"/>
          </w:tcPr>
          <w:p w14:paraId="0D160BDB">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技术</w:t>
            </w:r>
          </w:p>
          <w:p w14:paraId="7D2C3224">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负责人</w:t>
            </w:r>
          </w:p>
        </w:tc>
        <w:tc>
          <w:tcPr>
            <w:tcW w:w="1173" w:type="dxa"/>
            <w:noWrap w:val="0"/>
            <w:vAlign w:val="center"/>
          </w:tcPr>
          <w:p w14:paraId="7C0BEA5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pacing w:val="6"/>
                <w:kern w:val="2"/>
                <w:sz w:val="24"/>
                <w:szCs w:val="24"/>
                <w:lang w:val="en-US" w:eastAsia="zh-CN" w:bidi="ar-SA"/>
              </w:rPr>
            </w:pPr>
            <w:r>
              <w:rPr>
                <w:rFonts w:hint="eastAsia" w:ascii="宋体" w:hAnsi="宋体" w:cs="宋体"/>
                <w:sz w:val="24"/>
                <w:szCs w:val="24"/>
              </w:rPr>
              <w:t>孙</w:t>
            </w:r>
            <w:r>
              <w:rPr>
                <w:rFonts w:ascii="宋体" w:hAnsi="宋体" w:cs="宋体"/>
                <w:sz w:val="24"/>
                <w:szCs w:val="24"/>
              </w:rPr>
              <w:t xml:space="preserve">  </w:t>
            </w:r>
            <w:r>
              <w:rPr>
                <w:rFonts w:hint="eastAsia" w:ascii="宋体" w:hAnsi="宋体" w:cs="宋体"/>
                <w:sz w:val="24"/>
                <w:szCs w:val="24"/>
              </w:rPr>
              <w:t>虎</w:t>
            </w:r>
          </w:p>
        </w:tc>
        <w:tc>
          <w:tcPr>
            <w:tcW w:w="2209" w:type="dxa"/>
            <w:noWrap w:val="0"/>
            <w:vAlign w:val="center"/>
          </w:tcPr>
          <w:p w14:paraId="4BF78CE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2"/>
                <w:sz w:val="24"/>
                <w:szCs w:val="24"/>
                <w:lang w:val="en-US" w:eastAsia="zh-CN" w:bidi="ar-SA"/>
              </w:rPr>
            </w:pPr>
            <w:r>
              <w:rPr>
                <w:rFonts w:ascii="宋体" w:hAnsi="宋体" w:cs="宋体"/>
                <w:sz w:val="24"/>
                <w:szCs w:val="24"/>
              </w:rPr>
              <w:t xml:space="preserve">1100000000100211 </w:t>
            </w:r>
          </w:p>
        </w:tc>
        <w:tc>
          <w:tcPr>
            <w:tcW w:w="1843" w:type="dxa"/>
            <w:noWrap w:val="0"/>
            <w:vAlign w:val="center"/>
          </w:tcPr>
          <w:p w14:paraId="2889F82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2"/>
                <w:sz w:val="24"/>
                <w:szCs w:val="24"/>
                <w:lang w:val="en-US" w:eastAsia="zh-CN" w:bidi="ar-SA"/>
              </w:rPr>
            </w:pPr>
            <w:r>
              <w:rPr>
                <w:rFonts w:hint="eastAsia" w:ascii="宋体" w:hAnsi="宋体"/>
                <w:sz w:val="24"/>
                <w:lang w:val="en-US" w:eastAsia="zh-CN"/>
              </w:rPr>
              <w:t>化工工艺</w:t>
            </w:r>
          </w:p>
        </w:tc>
        <w:tc>
          <w:tcPr>
            <w:tcW w:w="1472" w:type="dxa"/>
            <w:noWrap w:val="0"/>
            <w:vAlign w:val="center"/>
          </w:tcPr>
          <w:p w14:paraId="42E3679A">
            <w:pPr>
              <w:spacing w:line="480" w:lineRule="auto"/>
              <w:jc w:val="center"/>
              <w:rPr>
                <w:rFonts w:hint="eastAsia" w:ascii="宋体" w:hAnsi="宋体" w:eastAsia="宋体" w:cs="宋体"/>
                <w:kern w:val="2"/>
                <w:sz w:val="24"/>
                <w:szCs w:val="24"/>
                <w:lang w:val="en-US" w:eastAsia="zh-CN" w:bidi="ar-SA"/>
              </w:rPr>
            </w:pPr>
            <w:r>
              <w:rPr>
                <w:rFonts w:ascii="宋体" w:hAnsi="宋体" w:cs="宋体"/>
                <w:sz w:val="24"/>
                <w:szCs w:val="24"/>
              </w:rPr>
              <w:t>015722</w:t>
            </w:r>
          </w:p>
        </w:tc>
        <w:tc>
          <w:tcPr>
            <w:tcW w:w="1917" w:type="dxa"/>
            <w:noWrap w:val="0"/>
            <w:vAlign w:val="center"/>
          </w:tcPr>
          <w:p w14:paraId="66B9EB16">
            <w:pPr>
              <w:spacing w:line="480" w:lineRule="auto"/>
              <w:jc w:val="center"/>
              <w:rPr>
                <w:rFonts w:hint="eastAsia" w:ascii="宋体" w:hAnsi="宋体" w:eastAsia="宋体" w:cs="宋体"/>
                <w:spacing w:val="6"/>
                <w:sz w:val="24"/>
              </w:rPr>
            </w:pPr>
          </w:p>
        </w:tc>
      </w:tr>
    </w:tbl>
    <w:p w14:paraId="2EFF46FE">
      <w:pPr>
        <w:pStyle w:val="12"/>
        <w:rPr>
          <w:rFonts w:hint="default"/>
          <w:lang w:val="en-US" w:eastAsia="zh-CN"/>
        </w:rPr>
      </w:pPr>
    </w:p>
    <w:p w14:paraId="46F844A4">
      <w:pPr>
        <w:bidi w:val="0"/>
        <w:rPr>
          <w:rFonts w:hint="default"/>
          <w:lang w:val="en-US" w:eastAsia="zh-CN"/>
        </w:rPr>
      </w:pPr>
    </w:p>
    <w:p w14:paraId="47E00D48">
      <w:pPr>
        <w:bidi w:val="0"/>
        <w:rPr>
          <w:rFonts w:hint="default"/>
          <w:lang w:val="en-US" w:eastAsia="zh-CN"/>
        </w:rPr>
      </w:pPr>
    </w:p>
    <w:p w14:paraId="0A7F7B86">
      <w:pPr>
        <w:bidi w:val="0"/>
        <w:rPr>
          <w:rFonts w:hint="default"/>
          <w:lang w:val="en-US" w:eastAsia="zh-CN"/>
        </w:rPr>
      </w:pPr>
    </w:p>
    <w:p w14:paraId="77BAB7D4">
      <w:pPr>
        <w:jc w:val="center"/>
        <w:rPr>
          <w:rFonts w:hint="eastAsia"/>
          <w:sz w:val="28"/>
          <w:szCs w:val="28"/>
          <w:lang w:val="en-US" w:eastAsia="zh-CN"/>
        </w:rPr>
      </w:pPr>
    </w:p>
    <w:p w14:paraId="145D8CEB">
      <w:pPr>
        <w:keepNext w:val="0"/>
        <w:keepLines w:val="0"/>
        <w:pageBreakBefore w:val="0"/>
        <w:widowControl w:val="0"/>
        <w:kinsoku/>
        <w:wordWrap/>
        <w:overflowPunct/>
        <w:topLinePunct w:val="0"/>
        <w:autoSpaceDE/>
        <w:autoSpaceDN/>
        <w:bidi w:val="0"/>
        <w:adjustRightInd w:val="0"/>
        <w:snapToGrid w:val="0"/>
        <w:spacing w:before="469" w:beforeLines="150" w:after="157" w:afterLines="50"/>
        <w:jc w:val="center"/>
        <w:textAlignment w:val="auto"/>
        <w:rPr>
          <w:rFonts w:hint="default"/>
          <w:lang w:val="en-US" w:eastAsia="zh-CN"/>
        </w:rPr>
      </w:pPr>
    </w:p>
    <w:p w14:paraId="370D4C61">
      <w:pPr>
        <w:bidi w:val="0"/>
        <w:jc w:val="center"/>
        <w:rPr>
          <w:rFonts w:hint="default"/>
          <w:lang w:val="en-US" w:eastAsia="zh-CN"/>
        </w:rPr>
      </w:pPr>
      <w:r>
        <w:rPr>
          <w:rFonts w:hint="default"/>
          <w:lang w:val="en-US" w:eastAsia="zh-CN"/>
        </w:rPr>
        <w:drawing>
          <wp:inline distT="0" distB="0" distL="114300" distR="114300">
            <wp:extent cx="4371975" cy="6172200"/>
            <wp:effectExtent l="0" t="0" r="9525" b="0"/>
            <wp:docPr id="1" name="图片 1" descr="173466103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4661032510"/>
                    <pic:cNvPicPr>
                      <a:picLocks noChangeAspect="1"/>
                    </pic:cNvPicPr>
                  </pic:nvPicPr>
                  <pic:blipFill>
                    <a:blip r:embed="rId4"/>
                    <a:stretch>
                      <a:fillRect/>
                    </a:stretch>
                  </pic:blipFill>
                  <pic:spPr>
                    <a:xfrm>
                      <a:off x="0" y="0"/>
                      <a:ext cx="4371975" cy="6172200"/>
                    </a:xfrm>
                    <a:prstGeom prst="rect">
                      <a:avLst/>
                    </a:prstGeom>
                  </pic:spPr>
                </pic:pic>
              </a:graphicData>
            </a:graphic>
          </wp:inline>
        </w:drawing>
      </w:r>
      <w:r>
        <w:rPr>
          <w:rFonts w:hint="default"/>
          <w:lang w:val="en-US" w:eastAsia="zh-CN"/>
        </w:rPr>
        <w:drawing>
          <wp:inline distT="0" distB="0" distL="114300" distR="114300">
            <wp:extent cx="5721985" cy="4291330"/>
            <wp:effectExtent l="0" t="0" r="12065" b="13970"/>
            <wp:docPr id="4" name="图片 4" descr="IMG_20241113_11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41113_110205"/>
                    <pic:cNvPicPr>
                      <a:picLocks noChangeAspect="1"/>
                    </pic:cNvPicPr>
                  </pic:nvPicPr>
                  <pic:blipFill>
                    <a:blip r:embed="rId5"/>
                    <a:stretch>
                      <a:fillRect/>
                    </a:stretch>
                  </pic:blipFill>
                  <pic:spPr>
                    <a:xfrm>
                      <a:off x="0" y="0"/>
                      <a:ext cx="5721985" cy="4291330"/>
                    </a:xfrm>
                    <a:prstGeom prst="rect">
                      <a:avLst/>
                    </a:prstGeom>
                  </pic:spPr>
                </pic:pic>
              </a:graphicData>
            </a:graphic>
          </wp:inline>
        </w:drawing>
      </w:r>
      <w:r>
        <w:rPr>
          <w:rFonts w:hint="default"/>
          <w:lang w:val="en-US" w:eastAsia="zh-CN"/>
        </w:rPr>
        <w:drawing>
          <wp:inline distT="0" distB="0" distL="114300" distR="114300">
            <wp:extent cx="5721985" cy="4291330"/>
            <wp:effectExtent l="0" t="0" r="12065" b="13970"/>
            <wp:docPr id="3" name="图片 3" descr="IMG_20241113_11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41113_110238"/>
                    <pic:cNvPicPr>
                      <a:picLocks noChangeAspect="1"/>
                    </pic:cNvPicPr>
                  </pic:nvPicPr>
                  <pic:blipFill>
                    <a:blip r:embed="rId6"/>
                    <a:stretch>
                      <a:fillRect/>
                    </a:stretch>
                  </pic:blipFill>
                  <pic:spPr>
                    <a:xfrm>
                      <a:off x="0" y="0"/>
                      <a:ext cx="5721985" cy="4291330"/>
                    </a:xfrm>
                    <a:prstGeom prst="rect">
                      <a:avLst/>
                    </a:prstGeom>
                  </pic:spPr>
                </pic:pic>
              </a:graphicData>
            </a:graphic>
          </wp:inline>
        </w:drawing>
      </w:r>
      <w:bookmarkStart w:id="70" w:name="_GoBack"/>
      <w:bookmarkEnd w:id="70"/>
      <w:r>
        <w:rPr>
          <w:rFonts w:hint="default"/>
          <w:lang w:val="en-US" w:eastAsia="zh-CN"/>
        </w:rPr>
        <w:drawing>
          <wp:inline distT="0" distB="0" distL="114300" distR="114300">
            <wp:extent cx="4381500" cy="5743575"/>
            <wp:effectExtent l="0" t="0" r="0" b="9525"/>
            <wp:docPr id="2" name="图片 2" descr="1734661043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4661043435"/>
                    <pic:cNvPicPr>
                      <a:picLocks noChangeAspect="1"/>
                    </pic:cNvPicPr>
                  </pic:nvPicPr>
                  <pic:blipFill>
                    <a:blip r:embed="rId7"/>
                    <a:stretch>
                      <a:fillRect/>
                    </a:stretch>
                  </pic:blipFill>
                  <pic:spPr>
                    <a:xfrm>
                      <a:off x="0" y="0"/>
                      <a:ext cx="4381500" cy="5743575"/>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86F37E4"/>
    <w:rsid w:val="098D48F6"/>
    <w:rsid w:val="09D5345C"/>
    <w:rsid w:val="0A1C5EDC"/>
    <w:rsid w:val="0A27015B"/>
    <w:rsid w:val="0A5D5908"/>
    <w:rsid w:val="0BD51C61"/>
    <w:rsid w:val="0EDC1223"/>
    <w:rsid w:val="12386C7D"/>
    <w:rsid w:val="13D12EE6"/>
    <w:rsid w:val="153C4810"/>
    <w:rsid w:val="16BC1C2B"/>
    <w:rsid w:val="1C4A2E55"/>
    <w:rsid w:val="1DE92E23"/>
    <w:rsid w:val="1E1E483E"/>
    <w:rsid w:val="1EC3003E"/>
    <w:rsid w:val="1FF73CD4"/>
    <w:rsid w:val="21465BA2"/>
    <w:rsid w:val="22CB7136"/>
    <w:rsid w:val="27595274"/>
    <w:rsid w:val="284F788D"/>
    <w:rsid w:val="2A9D36CA"/>
    <w:rsid w:val="2E5E68CC"/>
    <w:rsid w:val="2EC41433"/>
    <w:rsid w:val="2F917EEC"/>
    <w:rsid w:val="31297B3A"/>
    <w:rsid w:val="355F439E"/>
    <w:rsid w:val="35CC29B8"/>
    <w:rsid w:val="361E3E5D"/>
    <w:rsid w:val="37A6654A"/>
    <w:rsid w:val="38B36882"/>
    <w:rsid w:val="3BB85D78"/>
    <w:rsid w:val="3C176B62"/>
    <w:rsid w:val="420C1409"/>
    <w:rsid w:val="4706325F"/>
    <w:rsid w:val="47290367"/>
    <w:rsid w:val="48FE4AE5"/>
    <w:rsid w:val="4ECC7680"/>
    <w:rsid w:val="4F5D6EDB"/>
    <w:rsid w:val="52FF4A33"/>
    <w:rsid w:val="537F016A"/>
    <w:rsid w:val="53A35965"/>
    <w:rsid w:val="55665FD9"/>
    <w:rsid w:val="563D798B"/>
    <w:rsid w:val="567C6788"/>
    <w:rsid w:val="579A241E"/>
    <w:rsid w:val="58840D76"/>
    <w:rsid w:val="5C8B1D2D"/>
    <w:rsid w:val="5D511379"/>
    <w:rsid w:val="60FB542C"/>
    <w:rsid w:val="636808F8"/>
    <w:rsid w:val="64C51278"/>
    <w:rsid w:val="64FD4259"/>
    <w:rsid w:val="6AD40467"/>
    <w:rsid w:val="6B3179BA"/>
    <w:rsid w:val="6BF95CAB"/>
    <w:rsid w:val="6C4D48B3"/>
    <w:rsid w:val="6D0669CA"/>
    <w:rsid w:val="6E63277B"/>
    <w:rsid w:val="6FDF53A7"/>
    <w:rsid w:val="717A11AE"/>
    <w:rsid w:val="72FD2CFB"/>
    <w:rsid w:val="74AE7C8C"/>
    <w:rsid w:val="74C506A8"/>
    <w:rsid w:val="76511CAD"/>
    <w:rsid w:val="77285FE2"/>
    <w:rsid w:val="7772596D"/>
    <w:rsid w:val="788E5851"/>
    <w:rsid w:val="7AB02F22"/>
    <w:rsid w:val="7C9C2DAE"/>
    <w:rsid w:val="7DD14549"/>
    <w:rsid w:val="7F34107C"/>
    <w:rsid w:val="7F6850C5"/>
    <w:rsid w:val="7F716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b/>
      <w:sz w:val="24"/>
      <w:u w:val="single"/>
    </w:rPr>
  </w:style>
  <w:style w:type="paragraph" w:styleId="3">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5">
    <w:name w:val="Normal Indent"/>
    <w:basedOn w:val="1"/>
    <w:qFormat/>
    <w:uiPriority w:val="99"/>
    <w:pPr>
      <w:ind w:firstLine="420"/>
    </w:pPr>
  </w:style>
  <w:style w:type="paragraph" w:styleId="6">
    <w:name w:val="annotation text"/>
    <w:basedOn w:val="1"/>
    <w:qFormat/>
    <w:uiPriority w:val="99"/>
    <w:pPr>
      <w:ind w:firstLine="200" w:firstLineChars="200"/>
      <w:jc w:val="left"/>
    </w:pPr>
    <w:rPr>
      <w:sz w:val="28"/>
      <w:szCs w:val="20"/>
      <w:u w:color="000000"/>
    </w:rPr>
  </w:style>
  <w:style w:type="paragraph" w:styleId="7">
    <w:name w:val="Plain Text"/>
    <w:basedOn w:val="1"/>
    <w:unhideWhenUsed/>
    <w:qFormat/>
    <w:uiPriority w:val="99"/>
    <w:rPr>
      <w:rFonts w:ascii="宋体" w:hAnsi="Courier New"/>
      <w:kern w:val="0"/>
      <w:sz w:val="20"/>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7"/>
    <w:qFormat/>
    <w:uiPriority w:val="0"/>
    <w:pPr>
      <w:spacing w:line="320" w:lineRule="exact"/>
      <w:jc w:val="center"/>
    </w:pPr>
    <w:rPr>
      <w:rFonts w:ascii="Times New Roman" w:hAnsi="Times New Roman"/>
      <w:kern w:val="2"/>
      <w:sz w:val="21"/>
      <w:szCs w:val="21"/>
      <w:u w:color="000000"/>
    </w:rPr>
  </w:style>
  <w:style w:type="character" w:customStyle="1" w:styleId="24">
    <w:name w:val="style71"/>
    <w:basedOn w:val="10"/>
    <w:qFormat/>
    <w:uiPriority w:val="0"/>
    <w:rPr>
      <w:sz w:val="27"/>
      <w:szCs w:val="27"/>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3721</Words>
  <Characters>4169</Characters>
  <Lines>0</Lines>
  <Paragraphs>0</Paragraphs>
  <TotalTime>0</TotalTime>
  <ScaleCrop>false</ScaleCrop>
  <LinksUpToDate>false</LinksUpToDate>
  <CharactersWithSpaces>4548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2024-12-20T02:18:21Z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64A48CC75B534D1DA0269182ECBF6851_13</vt:lpwstr>
  </property>
  <property fmtid="{D5CDD505-2E9C-101B-9397-08002B2CF9AE}" pid="4" name="KSOTemplateDocerSaveRecord">
    <vt:lpwstr>eyJoZGlkIjoiZjE3OTA5MjhjYzFkNzA1MTExN2Y4Y2VmYWI1OTZiZjUiLCJ1c2VySWQiOiI0NDUyNjk3NzEifQ==</vt:lpwstr>
  </property>
</Properties>
</file>