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B9779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安全评价项目信息表</w:t>
      </w:r>
    </w:p>
    <w:p w14:paraId="2E2E7E1F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项目编号：</w:t>
      </w:r>
    </w:p>
    <w:tbl>
      <w:tblPr>
        <w:tblStyle w:val="8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68" w:type="dxa"/>
          <w:left w:w="108" w:type="dxa"/>
          <w:bottom w:w="68" w:type="dxa"/>
          <w:right w:w="108" w:type="dxa"/>
        </w:tblCellMar>
      </w:tblPr>
      <w:tblGrid>
        <w:gridCol w:w="1832"/>
        <w:gridCol w:w="2188"/>
        <w:gridCol w:w="2350"/>
        <w:gridCol w:w="2918"/>
      </w:tblGrid>
      <w:tr w14:paraId="33223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45E6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AACDB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中国石油天然气股份有限公司山东泰安销售分公司南外环加油站</w:t>
            </w:r>
          </w:p>
          <w:p w14:paraId="5F0EE62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经营危险化学品现状评价</w:t>
            </w:r>
          </w:p>
        </w:tc>
      </w:tr>
      <w:tr w14:paraId="1F3FA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3CE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项目简介</w:t>
            </w:r>
          </w:p>
        </w:tc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4AD4F">
            <w:pPr>
              <w:pStyle w:val="22"/>
              <w:adjustRightInd w:val="0"/>
              <w:snapToGrid w:val="0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该加油站现有埋地储油罐4只，</w:t>
            </w:r>
            <w:r>
              <w:rPr>
                <w:color w:val="auto"/>
                <w:highlight w:val="none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0m</w:t>
            </w:r>
            <w:r>
              <w:rPr>
                <w:rFonts w:hint="eastAsia"/>
                <w:color w:val="auto"/>
                <w:highlight w:val="none"/>
                <w:vertAlign w:val="superscript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92#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乙醇汽油</w:t>
            </w:r>
            <w:r>
              <w:rPr>
                <w:rFonts w:hint="eastAsia"/>
                <w:color w:val="auto"/>
                <w:highlight w:val="none"/>
              </w:rPr>
              <w:t>罐、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0m</w:t>
            </w:r>
            <w:r>
              <w:rPr>
                <w:rFonts w:hint="eastAsia"/>
                <w:color w:val="auto"/>
                <w:highlight w:val="none"/>
                <w:vertAlign w:val="superscript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95#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汽油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罐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0m</w:t>
            </w:r>
            <w:r>
              <w:rPr>
                <w:rFonts w:hint="eastAsia"/>
                <w:color w:val="auto"/>
                <w:highlight w:val="none"/>
                <w:vertAlign w:val="superscript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柴油罐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油气回收处理设备。</w:t>
            </w:r>
            <w:r>
              <w:rPr>
                <w:color w:val="auto"/>
                <w:highlight w:val="none"/>
              </w:rPr>
              <w:t>设置罩棚一处，</w:t>
            </w:r>
            <w:r>
              <w:rPr>
                <w:rFonts w:hint="eastAsia"/>
                <w:color w:val="auto"/>
                <w:highlight w:val="none"/>
              </w:rPr>
              <w:t>罩棚下设置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4台加油机：1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台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枪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柴油加油机、1台4枪92#乙醇汽油/95#汽油加油机、1台双枪95#汽油加油机，1台双枪加油机（已停用）</w:t>
            </w:r>
          </w:p>
        </w:tc>
      </w:tr>
      <w:tr w14:paraId="24236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F0C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评价人员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CBB5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  名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9B15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7127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29CA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FFDF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5539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068D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9D89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2A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刘卫国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9161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51D2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F44E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C36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王静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EC6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2F88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9BAD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1AE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2932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9844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44E7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F5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赵云峰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4E61B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27B4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76A5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报告编制人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0FD2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2C8F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D33E9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4305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报告审核人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11B2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赵燕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1439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BD6F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A697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过程控制负责人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469F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刘云红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5764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65BA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116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D6BDB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孙虎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8D6A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DE88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39F2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技术专家</w:t>
            </w:r>
          </w:p>
          <w:p w14:paraId="54D3B77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或有关技术人员</w:t>
            </w: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EDAC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E44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FBF8D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DAAA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D401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78CA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4590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1292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AE2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DB7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B8E1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97A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9ECE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ECF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C3EF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D0D5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到现场开展安全</w:t>
            </w:r>
          </w:p>
          <w:p w14:paraId="2F4CEAB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评价工作情况</w:t>
            </w: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27BC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时  间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1A71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到现场主要人员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2C45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主要任务</w:t>
            </w:r>
          </w:p>
        </w:tc>
      </w:tr>
      <w:tr w14:paraId="6F3AB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806A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1D27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2025.2.7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280D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辛磊、马琳琳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453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初访</w:t>
            </w:r>
          </w:p>
        </w:tc>
      </w:tr>
      <w:tr w14:paraId="0AA219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5374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D758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2025.2.25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032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辛磊、马琳琳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6880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现场考察</w:t>
            </w:r>
          </w:p>
        </w:tc>
      </w:tr>
      <w:tr w14:paraId="1741F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2D14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0C69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2025.2.28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4ED3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辛磊、马琳琳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D928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现场检查</w:t>
            </w:r>
          </w:p>
        </w:tc>
      </w:tr>
      <w:tr w14:paraId="4C41B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0055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9B08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2025.3.1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2E3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辛磊、马琳琳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636B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现场核查</w:t>
            </w:r>
          </w:p>
        </w:tc>
      </w:tr>
      <w:tr w14:paraId="756B4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CC7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安全评价报告提交时间：2025.3.8</w:t>
            </w:r>
          </w:p>
        </w:tc>
      </w:tr>
      <w:tr w14:paraId="1FFD0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68" w:type="dxa"/>
            <w:left w:w="108" w:type="dxa"/>
            <w:bottom w:w="68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7898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有必要公开的其它内容：</w:t>
            </w:r>
          </w:p>
        </w:tc>
      </w:tr>
    </w:tbl>
    <w:p w14:paraId="1BC6EA7C">
      <w:pPr>
        <w:rPr>
          <w:rFonts w:hint="default" w:ascii="宋体"/>
          <w:color w:val="auto"/>
          <w:kern w:val="0"/>
          <w:sz w:val="28"/>
          <w:szCs w:val="20"/>
          <w:lang w:val="en-US" w:eastAsia="zh-CN"/>
        </w:rPr>
      </w:pPr>
      <w:r>
        <w:rPr>
          <w:rFonts w:hint="default" w:ascii="宋体"/>
          <w:color w:val="auto"/>
          <w:kern w:val="0"/>
          <w:sz w:val="28"/>
          <w:szCs w:val="20"/>
          <w:lang w:val="en-US" w:eastAsia="zh-CN"/>
        </w:rPr>
        <w:br w:type="page"/>
      </w:r>
    </w:p>
    <w:p w14:paraId="6E9A4C08">
      <w:pPr>
        <w:pStyle w:val="16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textAlignment w:val="auto"/>
        <w:rPr>
          <w:rFonts w:hint="eastAsia"/>
          <w:color w:val="auto"/>
          <w:highlight w:val="none"/>
        </w:rPr>
      </w:pPr>
      <w:bookmarkStart w:id="0" w:name="_Toc102634226"/>
      <w:bookmarkStart w:id="1" w:name="_Toc102634395"/>
      <w:bookmarkStart w:id="2" w:name="_Toc15033742"/>
      <w:bookmarkStart w:id="3" w:name="_Toc102633895"/>
      <w:bookmarkStart w:id="4" w:name="_Toc8295"/>
      <w:bookmarkStart w:id="5" w:name="_Toc102633969"/>
      <w:r>
        <w:rPr>
          <w:rFonts w:hint="eastAsia"/>
          <w:color w:val="auto"/>
          <w:highlight w:val="none"/>
        </w:rPr>
        <w:t>第二章 加油站概况</w:t>
      </w:r>
      <w:bookmarkEnd w:id="0"/>
      <w:bookmarkEnd w:id="1"/>
      <w:bookmarkEnd w:id="2"/>
      <w:bookmarkEnd w:id="3"/>
      <w:bookmarkEnd w:id="4"/>
      <w:bookmarkEnd w:id="5"/>
    </w:p>
    <w:p w14:paraId="75DFB68C">
      <w:pPr>
        <w:pStyle w:val="3"/>
        <w:spacing w:before="312" w:beforeLines="100" w:after="312" w:afterLines="100" w:line="360" w:lineRule="auto"/>
        <w:ind w:firstLine="0"/>
        <w:rPr>
          <w:rFonts w:hint="eastAsia"/>
          <w:color w:val="auto"/>
          <w:highlight w:val="none"/>
        </w:rPr>
      </w:pPr>
      <w:bookmarkStart w:id="6" w:name="_Toc30066"/>
      <w:bookmarkStart w:id="7" w:name="_Toc13779"/>
      <w:bookmarkStart w:id="8" w:name="_Toc102633970"/>
      <w:bookmarkStart w:id="9" w:name="_Toc26504"/>
      <w:bookmarkStart w:id="10" w:name="_Toc272364524"/>
      <w:bookmarkStart w:id="11" w:name="_Toc208733856"/>
      <w:bookmarkStart w:id="12" w:name="_Toc102634396"/>
      <w:bookmarkStart w:id="13" w:name="_Toc15033743"/>
      <w:bookmarkStart w:id="14" w:name="_Toc102634227"/>
      <w:bookmarkStart w:id="15" w:name="_Toc102633896"/>
      <w:r>
        <w:rPr>
          <w:rFonts w:hint="eastAsia"/>
          <w:color w:val="auto"/>
          <w:highlight w:val="none"/>
        </w:rPr>
        <w:t>第一节 加油站基本情况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957CBF7">
      <w:pPr>
        <w:adjustRightInd w:val="0"/>
        <w:snapToGrid w:val="0"/>
        <w:spacing w:line="360" w:lineRule="auto"/>
        <w:ind w:firstLine="560" w:firstLineChars="200"/>
        <w:rPr>
          <w:rFonts w:ascii="宋体"/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中国石油天然气股份有限公司山东泰安销售分公司南外环加油站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位于</w:t>
      </w:r>
      <w:r>
        <w:rPr>
          <w:rFonts w:hint="eastAsia" w:ascii="宋体" w:hAnsi="宋体"/>
          <w:color w:val="auto"/>
          <w:sz w:val="28"/>
          <w:highlight w:val="none"/>
          <w:lang w:eastAsia="zh-CN"/>
        </w:rPr>
        <w:t>泰安市泮河大街中段南侧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加油站东侧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是CNG加气站，西侧是中医馆（三类保护物），南侧是市场（二类保护物），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北侧是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泮河大街。</w:t>
      </w:r>
      <w:r>
        <w:rPr>
          <w:rFonts w:hint="eastAsia" w:ascii="宋体" w:hAnsi="宋体"/>
          <w:color w:val="auto"/>
          <w:sz w:val="28"/>
          <w:highlight w:val="none"/>
        </w:rPr>
        <w:t>该站经营许可范围为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汽油、乙醇汽油</w:t>
      </w:r>
      <w:r>
        <w:rPr>
          <w:rFonts w:hint="eastAsia" w:ascii="宋体" w:hAnsi="宋体"/>
          <w:color w:val="auto"/>
          <w:sz w:val="28"/>
          <w:highlight w:val="none"/>
        </w:rPr>
        <w:t>、柴油，现其主要经营储存</w:t>
      </w:r>
      <w:r>
        <w:rPr>
          <w:rFonts w:hint="eastAsia" w:ascii="宋体" w:hAnsi="宋体"/>
          <w:color w:val="auto"/>
          <w:sz w:val="28"/>
          <w:highlight w:val="none"/>
          <w:lang w:eastAsia="zh-CN"/>
        </w:rPr>
        <w:t>汽油、乙醇汽油</w:t>
      </w:r>
      <w:r>
        <w:rPr>
          <w:rFonts w:hint="eastAsia" w:ascii="宋体" w:hAnsi="宋体"/>
          <w:color w:val="auto"/>
          <w:sz w:val="28"/>
          <w:highlight w:val="none"/>
        </w:rPr>
        <w:t>、0#柴油（换季销售-</w:t>
      </w:r>
      <w:r>
        <w:rPr>
          <w:rFonts w:ascii="宋体" w:hAnsi="宋体"/>
          <w:color w:val="auto"/>
          <w:sz w:val="28"/>
          <w:highlight w:val="none"/>
        </w:rPr>
        <w:t>10#</w:t>
      </w:r>
      <w:r>
        <w:rPr>
          <w:rFonts w:hint="eastAsia" w:ascii="宋体" w:hAnsi="宋体"/>
          <w:color w:val="auto"/>
          <w:sz w:val="28"/>
          <w:highlight w:val="none"/>
        </w:rPr>
        <w:t>柴油）</w:t>
      </w:r>
      <w:r>
        <w:rPr>
          <w:rFonts w:hint="eastAsia" w:ascii="宋体" w:hAnsi="宋体"/>
          <w:snapToGrid w:val="0"/>
          <w:color w:val="auto"/>
          <w:kern w:val="0"/>
          <w:sz w:val="28"/>
          <w:highlight w:val="none"/>
        </w:rPr>
        <w:t>。</w:t>
      </w:r>
      <w:r>
        <w:rPr>
          <w:rFonts w:hint="eastAsia" w:ascii="宋体" w:hAnsi="宋体"/>
          <w:color w:val="auto"/>
          <w:sz w:val="28"/>
          <w:highlight w:val="none"/>
        </w:rPr>
        <w:t>此次现状评价报告与三年前报告相比，周边环境、站内设备设施、主要建构筑物未发生变化。</w:t>
      </w:r>
    </w:p>
    <w:p w14:paraId="10A5C1EE">
      <w:pPr>
        <w:pStyle w:val="15"/>
        <w:widowControl w:val="0"/>
        <w:adjustRightInd w:val="0"/>
        <w:snapToGrid w:val="0"/>
        <w:spacing w:line="360" w:lineRule="auto"/>
        <w:ind w:firstLine="560"/>
        <w:rPr>
          <w:rFonts w:ascii="宋体"/>
          <w:color w:val="auto"/>
          <w:highlight w:val="none"/>
          <w:vertAlign w:val="superscript"/>
        </w:rPr>
      </w:pPr>
      <w:r>
        <w:rPr>
          <w:rFonts w:hint="eastAsia" w:ascii="宋体" w:hAnsi="宋体"/>
          <w:color w:val="auto"/>
          <w:szCs w:val="28"/>
          <w:highlight w:val="none"/>
        </w:rPr>
        <w:t>该加油站主要建有站房、罩棚、油罐区、加油区等。加油区在</w:t>
      </w:r>
      <w:r>
        <w:rPr>
          <w:rFonts w:hint="eastAsia" w:ascii="宋体" w:hAnsi="宋体"/>
          <w:color w:val="auto"/>
          <w:szCs w:val="28"/>
          <w:highlight w:val="none"/>
          <w:lang w:val="en-US" w:eastAsia="zh-CN"/>
        </w:rPr>
        <w:t>站房北侧</w:t>
      </w:r>
      <w:r>
        <w:rPr>
          <w:rFonts w:hint="eastAsia" w:ascii="宋体" w:hAnsi="宋体"/>
          <w:color w:val="auto"/>
          <w:szCs w:val="28"/>
          <w:highlight w:val="none"/>
        </w:rPr>
        <w:t>，</w:t>
      </w:r>
      <w:r>
        <w:rPr>
          <w:rFonts w:hint="eastAsia" w:ascii="宋体" w:hAnsi="宋体"/>
          <w:color w:val="auto"/>
          <w:kern w:val="2"/>
          <w:szCs w:val="21"/>
          <w:highlight w:val="none"/>
        </w:rPr>
        <w:t>现有</w:t>
      </w:r>
      <w:r>
        <w:rPr>
          <w:rFonts w:hint="eastAsia"/>
          <w:color w:val="auto"/>
          <w:highlight w:val="none"/>
          <w:lang w:val="en-US" w:eastAsia="zh-CN"/>
        </w:rPr>
        <w:t>4台加油机：1</w:t>
      </w:r>
      <w:r>
        <w:rPr>
          <w:rFonts w:hint="eastAsia" w:ascii="宋体" w:hAnsi="宋体" w:cs="宋体"/>
          <w:bCs/>
          <w:color w:val="auto"/>
          <w:highlight w:val="none"/>
        </w:rPr>
        <w:t>台</w:t>
      </w:r>
      <w:r>
        <w:rPr>
          <w:rFonts w:hint="eastAsia" w:ascii="宋体" w:hAnsi="宋体" w:cs="宋体"/>
          <w:bCs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highlight w:val="none"/>
        </w:rPr>
        <w:t>枪</w:t>
      </w:r>
      <w:r>
        <w:rPr>
          <w:rFonts w:hint="eastAsia" w:ascii="宋体" w:hAnsi="宋体" w:cs="宋体"/>
          <w:bCs/>
          <w:color w:val="auto"/>
          <w:highlight w:val="none"/>
          <w:lang w:val="en-US" w:eastAsia="zh-CN"/>
        </w:rPr>
        <w:t>柴油加油机、1台4枪92#乙醇汽油/95#汽油加油机、1台双枪95#汽油加油机、1台双枪加油机（已停用）</w:t>
      </w:r>
      <w:r>
        <w:rPr>
          <w:rFonts w:hint="eastAsia" w:ascii="宋体" w:hAnsi="宋体"/>
          <w:color w:val="auto"/>
          <w:kern w:val="2"/>
          <w:szCs w:val="21"/>
          <w:highlight w:val="none"/>
        </w:rPr>
        <w:t>，均为</w:t>
      </w:r>
      <w:r>
        <w:rPr>
          <w:rFonts w:hint="eastAsia" w:ascii="宋体" w:hAnsi="宋体"/>
          <w:color w:val="auto"/>
          <w:kern w:val="2"/>
          <w:szCs w:val="21"/>
          <w:highlight w:val="none"/>
          <w:lang w:val="en-US" w:eastAsia="zh-CN"/>
        </w:rPr>
        <w:t>潜油泵</w:t>
      </w:r>
      <w:r>
        <w:rPr>
          <w:rFonts w:hint="eastAsia" w:ascii="宋体" w:hAnsi="宋体"/>
          <w:color w:val="auto"/>
          <w:kern w:val="2"/>
          <w:szCs w:val="21"/>
          <w:highlight w:val="none"/>
        </w:rPr>
        <w:t>式</w:t>
      </w:r>
      <w:r>
        <w:rPr>
          <w:rFonts w:hint="eastAsia" w:ascii="宋体"/>
          <w:color w:val="auto"/>
          <w:highlight w:val="none"/>
        </w:rPr>
        <w:t>；</w:t>
      </w:r>
      <w:r>
        <w:rPr>
          <w:rFonts w:hint="eastAsia" w:ascii="宋体" w:hAnsi="宋体"/>
          <w:color w:val="auto"/>
          <w:szCs w:val="28"/>
          <w:highlight w:val="none"/>
        </w:rPr>
        <w:t>油罐区位于</w:t>
      </w:r>
      <w:r>
        <w:rPr>
          <w:rFonts w:hint="eastAsia" w:ascii="宋体" w:hAnsi="宋体"/>
          <w:color w:val="auto"/>
          <w:szCs w:val="28"/>
          <w:highlight w:val="none"/>
          <w:lang w:val="en-US" w:eastAsia="zh-CN"/>
        </w:rPr>
        <w:t>站房南侧非车行道下方</w:t>
      </w:r>
      <w:r>
        <w:rPr>
          <w:rFonts w:hint="eastAsia" w:ascii="宋体" w:hAnsi="宋体"/>
          <w:color w:val="auto"/>
          <w:szCs w:val="28"/>
          <w:highlight w:val="none"/>
        </w:rPr>
        <w:t>，</w:t>
      </w:r>
      <w:r>
        <w:rPr>
          <w:rFonts w:hint="eastAsia" w:ascii="宋体"/>
          <w:color w:val="auto"/>
          <w:highlight w:val="none"/>
        </w:rPr>
        <w:t>现有</w:t>
      </w:r>
      <w:r>
        <w:rPr>
          <w:rFonts w:hint="eastAsia" w:ascii="宋体"/>
          <w:color w:val="auto"/>
          <w:highlight w:val="none"/>
          <w:lang w:val="en-US" w:eastAsia="zh-CN"/>
        </w:rPr>
        <w:t>5</w:t>
      </w:r>
      <w:r>
        <w:rPr>
          <w:rFonts w:hint="eastAsia" w:ascii="宋体"/>
          <w:color w:val="auto"/>
          <w:highlight w:val="none"/>
        </w:rPr>
        <w:t>台</w:t>
      </w:r>
      <w:r>
        <w:rPr>
          <w:rFonts w:hint="eastAsia" w:ascii="宋体"/>
          <w:color w:val="auto"/>
          <w:highlight w:val="none"/>
          <w:lang w:val="en-US" w:eastAsia="zh-CN"/>
        </w:rPr>
        <w:t>3</w:t>
      </w:r>
      <w:r>
        <w:rPr>
          <w:rFonts w:hint="eastAsia" w:ascii="宋体"/>
          <w:color w:val="auto"/>
          <w:highlight w:val="none"/>
        </w:rPr>
        <w:t>0m³埋地双层储罐</w:t>
      </w:r>
      <w:r>
        <w:rPr>
          <w:rFonts w:hint="eastAsia" w:ascii="宋体"/>
          <w:color w:val="auto"/>
          <w:highlight w:val="none"/>
          <w:lang w:eastAsia="zh-CN"/>
        </w:rPr>
        <w:t>：</w:t>
      </w:r>
      <w:r>
        <w:rPr>
          <w:rFonts w:hint="eastAsia" w:ascii="宋体"/>
          <w:color w:val="auto"/>
          <w:highlight w:val="none"/>
        </w:rPr>
        <w:t>1台92#</w:t>
      </w:r>
      <w:r>
        <w:rPr>
          <w:rFonts w:hint="eastAsia" w:ascii="宋体"/>
          <w:color w:val="auto"/>
          <w:highlight w:val="none"/>
          <w:lang w:val="en-US" w:eastAsia="zh-CN"/>
        </w:rPr>
        <w:t>乙醇</w:t>
      </w:r>
      <w:r>
        <w:rPr>
          <w:rFonts w:hint="eastAsia" w:ascii="宋体"/>
          <w:color w:val="auto"/>
          <w:highlight w:val="none"/>
          <w:lang w:eastAsia="zh-CN"/>
        </w:rPr>
        <w:t>汽油</w:t>
      </w:r>
      <w:r>
        <w:rPr>
          <w:rFonts w:hint="eastAsia" w:ascii="宋体"/>
          <w:color w:val="auto"/>
          <w:highlight w:val="none"/>
        </w:rPr>
        <w:t>罐</w:t>
      </w:r>
      <w:r>
        <w:rPr>
          <w:rFonts w:hint="eastAsia" w:ascii="宋体"/>
          <w:color w:val="auto"/>
          <w:highlight w:val="none"/>
          <w:lang w:eastAsia="zh-CN"/>
        </w:rPr>
        <w:t>（</w:t>
      </w:r>
      <w:r>
        <w:rPr>
          <w:rFonts w:hint="eastAsia" w:ascii="宋体"/>
          <w:color w:val="auto"/>
          <w:highlight w:val="none"/>
          <w:lang w:val="en-US" w:eastAsia="zh-CN"/>
        </w:rPr>
        <w:t>V02</w:t>
      </w:r>
      <w:r>
        <w:rPr>
          <w:rFonts w:hint="eastAsia" w:ascii="宋体"/>
          <w:color w:val="auto"/>
          <w:highlight w:val="none"/>
          <w:lang w:eastAsia="zh-CN"/>
        </w:rPr>
        <w:t>）</w:t>
      </w:r>
      <w:r>
        <w:rPr>
          <w:rFonts w:hint="eastAsia" w:ascii="宋体"/>
          <w:color w:val="auto"/>
          <w:highlight w:val="none"/>
        </w:rPr>
        <w:t>、</w:t>
      </w:r>
      <w:r>
        <w:rPr>
          <w:rFonts w:hint="eastAsia" w:ascii="宋体"/>
          <w:color w:val="auto"/>
          <w:highlight w:val="none"/>
          <w:lang w:val="en-US" w:eastAsia="zh-CN"/>
        </w:rPr>
        <w:t>1</w:t>
      </w:r>
      <w:r>
        <w:rPr>
          <w:rFonts w:hint="eastAsia" w:ascii="宋体"/>
          <w:color w:val="auto"/>
          <w:highlight w:val="none"/>
        </w:rPr>
        <w:t>台95#</w:t>
      </w:r>
      <w:r>
        <w:rPr>
          <w:rFonts w:hint="eastAsia" w:ascii="宋体"/>
          <w:color w:val="auto"/>
          <w:highlight w:val="none"/>
          <w:lang w:eastAsia="zh-CN"/>
        </w:rPr>
        <w:t>汽油</w:t>
      </w:r>
      <w:r>
        <w:rPr>
          <w:rFonts w:hint="eastAsia" w:ascii="宋体"/>
          <w:color w:val="auto"/>
          <w:highlight w:val="none"/>
          <w:lang w:val="en-US" w:eastAsia="zh-CN"/>
        </w:rPr>
        <w:t>罐</w:t>
      </w:r>
      <w:r>
        <w:rPr>
          <w:rFonts w:hint="eastAsia" w:ascii="宋体"/>
          <w:color w:val="auto"/>
          <w:highlight w:val="none"/>
          <w:lang w:eastAsia="zh-CN"/>
        </w:rPr>
        <w:t>（</w:t>
      </w:r>
      <w:r>
        <w:rPr>
          <w:rFonts w:hint="eastAsia" w:ascii="宋体"/>
          <w:color w:val="auto"/>
          <w:highlight w:val="none"/>
          <w:lang w:val="en-US" w:eastAsia="zh-CN"/>
        </w:rPr>
        <w:t>V04</w:t>
      </w:r>
      <w:r>
        <w:rPr>
          <w:rFonts w:hint="eastAsia" w:ascii="宋体"/>
          <w:color w:val="auto"/>
          <w:highlight w:val="none"/>
          <w:lang w:eastAsia="zh-CN"/>
        </w:rPr>
        <w:t>）</w:t>
      </w:r>
      <w:r>
        <w:rPr>
          <w:rFonts w:hint="eastAsia" w:ascii="宋体"/>
          <w:color w:val="auto"/>
          <w:highlight w:val="none"/>
          <w:lang w:val="en-US" w:eastAsia="zh-CN"/>
        </w:rPr>
        <w:t>、2</w:t>
      </w:r>
      <w:r>
        <w:rPr>
          <w:rFonts w:hint="eastAsia" w:ascii="宋体"/>
          <w:color w:val="auto"/>
          <w:highlight w:val="none"/>
        </w:rPr>
        <w:t>台柴油罐</w:t>
      </w:r>
      <w:r>
        <w:rPr>
          <w:rFonts w:hint="eastAsia" w:ascii="宋体"/>
          <w:color w:val="auto"/>
          <w:highlight w:val="none"/>
          <w:lang w:eastAsia="zh-CN"/>
        </w:rPr>
        <w:t>（</w:t>
      </w:r>
      <w:r>
        <w:rPr>
          <w:rFonts w:hint="eastAsia" w:ascii="宋体"/>
          <w:color w:val="auto"/>
          <w:highlight w:val="none"/>
          <w:lang w:val="en-US" w:eastAsia="zh-CN"/>
        </w:rPr>
        <w:t>V01、V03</w:t>
      </w:r>
      <w:r>
        <w:rPr>
          <w:rFonts w:hint="eastAsia" w:ascii="宋体"/>
          <w:color w:val="auto"/>
          <w:highlight w:val="none"/>
          <w:lang w:eastAsia="zh-CN"/>
        </w:rPr>
        <w:t>）、</w:t>
      </w:r>
      <w:r>
        <w:rPr>
          <w:rFonts w:hint="eastAsia" w:ascii="宋体"/>
          <w:color w:val="auto"/>
          <w:highlight w:val="none"/>
          <w:lang w:val="en-US" w:eastAsia="zh-CN"/>
        </w:rPr>
        <w:t>1台停用（V05）</w:t>
      </w:r>
      <w:r>
        <w:rPr>
          <w:rFonts w:hint="eastAsia" w:ascii="宋体" w:hAnsi="宋体"/>
          <w:color w:val="auto"/>
          <w:szCs w:val="28"/>
          <w:highlight w:val="none"/>
          <w:lang w:val="en-US" w:eastAsia="zh-CN"/>
        </w:rPr>
        <w:t>卸油口</w:t>
      </w:r>
      <w:r>
        <w:rPr>
          <w:rFonts w:hint="eastAsia" w:ascii="宋体"/>
          <w:color w:val="auto"/>
          <w:highlight w:val="none"/>
          <w:lang w:val="en-US" w:eastAsia="zh-CN"/>
        </w:rPr>
        <w:t>已加盲板和锁</w:t>
      </w:r>
      <w:r>
        <w:rPr>
          <w:rFonts w:hint="eastAsia" w:ascii="宋体"/>
          <w:color w:val="auto"/>
          <w:highlight w:val="none"/>
        </w:rPr>
        <w:t>，</w:t>
      </w:r>
      <w:r>
        <w:rPr>
          <w:rFonts w:hint="eastAsia" w:ascii="宋体" w:hAnsi="宋体"/>
          <w:color w:val="auto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Cs w:val="28"/>
          <w:highlight w:val="none"/>
        </w:rPr>
        <w:t>台</w:t>
      </w:r>
      <w:r>
        <w:rPr>
          <w:rFonts w:hint="eastAsia" w:ascii="宋体" w:hAnsi="宋体"/>
          <w:color w:val="auto"/>
          <w:szCs w:val="28"/>
          <w:highlight w:val="none"/>
          <w:lang w:val="en-US" w:eastAsia="zh-CN"/>
        </w:rPr>
        <w:t>在用</w:t>
      </w:r>
      <w:r>
        <w:rPr>
          <w:rFonts w:hint="eastAsia" w:ascii="宋体" w:hAnsi="宋体"/>
          <w:color w:val="auto"/>
          <w:szCs w:val="28"/>
          <w:highlight w:val="none"/>
        </w:rPr>
        <w:t>油罐均安装了液位仪、检漏仪</w:t>
      </w:r>
      <w:r>
        <w:rPr>
          <w:rFonts w:hint="eastAsia" w:ascii="宋体"/>
          <w:color w:val="auto"/>
          <w:highlight w:val="none"/>
        </w:rPr>
        <w:t>；</w:t>
      </w:r>
      <w:r>
        <w:rPr>
          <w:rFonts w:hint="eastAsia" w:ascii="宋体"/>
          <w:color w:val="auto"/>
          <w:highlight w:val="none"/>
          <w:lang w:eastAsia="zh-CN"/>
        </w:rPr>
        <w:t>汽油、</w:t>
      </w:r>
      <w:r>
        <w:rPr>
          <w:rFonts w:hint="eastAsia" w:ascii="宋体"/>
          <w:color w:val="auto"/>
          <w:highlight w:val="none"/>
        </w:rPr>
        <w:t>柴油卸油口位于罐区</w:t>
      </w:r>
      <w:r>
        <w:rPr>
          <w:rFonts w:hint="eastAsia" w:ascii="宋体"/>
          <w:color w:val="auto"/>
          <w:highlight w:val="none"/>
          <w:lang w:val="en-US" w:eastAsia="zh-CN"/>
        </w:rPr>
        <w:t>东</w:t>
      </w:r>
      <w:r>
        <w:rPr>
          <w:rFonts w:hint="eastAsia" w:ascii="宋体"/>
          <w:color w:val="auto"/>
          <w:highlight w:val="none"/>
        </w:rPr>
        <w:t>侧；</w:t>
      </w:r>
      <w:r>
        <w:rPr>
          <w:rFonts w:hint="eastAsia" w:ascii="宋体" w:hAnsi="宋体"/>
          <w:color w:val="auto"/>
          <w:szCs w:val="28"/>
          <w:highlight w:val="none"/>
        </w:rPr>
        <w:t>通气管</w:t>
      </w:r>
      <w:r>
        <w:rPr>
          <w:rFonts w:hint="eastAsia" w:ascii="宋体" w:hAnsi="宋体"/>
          <w:color w:val="auto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8"/>
          <w:highlight w:val="none"/>
        </w:rPr>
        <w:t>根</w:t>
      </w:r>
      <w:r>
        <w:rPr>
          <w:rFonts w:hint="eastAsia" w:ascii="宋体" w:hAnsi="宋体"/>
          <w:color w:val="auto"/>
          <w:szCs w:val="28"/>
          <w:highlight w:val="none"/>
          <w:lang w:val="en-US" w:eastAsia="zh-CN"/>
        </w:rPr>
        <w:t>位于罐区南侧</w:t>
      </w:r>
      <w:r>
        <w:rPr>
          <w:rFonts w:hint="eastAsia" w:ascii="宋体" w:hAnsi="宋体"/>
          <w:color w:val="auto"/>
          <w:szCs w:val="28"/>
          <w:highlight w:val="none"/>
        </w:rPr>
        <w:t>，该站设有卸油油气回收系统、加油油气回收系统</w:t>
      </w:r>
      <w:r>
        <w:rPr>
          <w:rFonts w:hint="eastAsia" w:ascii="宋体" w:hAnsi="宋体"/>
          <w:color w:val="auto"/>
          <w:szCs w:val="28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Cs w:val="28"/>
          <w:highlight w:val="none"/>
          <w:lang w:val="en-US" w:eastAsia="zh-CN"/>
        </w:rPr>
        <w:t>油气回收处理系统</w:t>
      </w:r>
      <w:r>
        <w:rPr>
          <w:rFonts w:hint="eastAsia" w:ascii="宋体" w:hAnsi="宋体"/>
          <w:color w:val="auto"/>
          <w:szCs w:val="28"/>
          <w:highlight w:val="none"/>
        </w:rPr>
        <w:t>；</w:t>
      </w:r>
      <w:r>
        <w:rPr>
          <w:rFonts w:hint="eastAsia" w:ascii="宋体"/>
          <w:color w:val="auto"/>
          <w:highlight w:val="none"/>
        </w:rPr>
        <w:t>按《汽车加油加气加氢站技术标准》GB50156-2021标准规定：</w:t>
      </w:r>
      <w:r>
        <w:rPr>
          <w:rFonts w:hint="eastAsia" w:ascii="宋体"/>
          <w:color w:val="auto"/>
          <w:highlight w:val="none"/>
          <w:lang w:val="en-US" w:eastAsia="zh-CN"/>
        </w:rPr>
        <w:t>在用</w:t>
      </w:r>
      <w:r>
        <w:rPr>
          <w:rFonts w:hint="eastAsia" w:ascii="宋体"/>
          <w:color w:val="auto"/>
          <w:highlight w:val="none"/>
        </w:rPr>
        <w:t>油罐总储量为</w:t>
      </w:r>
      <w:r>
        <w:rPr>
          <w:rFonts w:hint="eastAsia" w:ascii="宋体"/>
          <w:color w:val="auto"/>
          <w:highlight w:val="none"/>
          <w:lang w:val="en-US" w:eastAsia="zh-CN"/>
        </w:rPr>
        <w:t>120</w:t>
      </w:r>
      <w:r>
        <w:rPr>
          <w:rFonts w:hint="eastAsia" w:ascii="宋体"/>
          <w:color w:val="auto"/>
          <w:highlight w:val="none"/>
        </w:rPr>
        <w:t>m³，柴油储罐容积折半计入总容积为</w:t>
      </w:r>
      <w:r>
        <w:rPr>
          <w:rFonts w:hint="eastAsia" w:ascii="宋体"/>
          <w:color w:val="auto"/>
          <w:highlight w:val="none"/>
          <w:lang w:val="en-US" w:eastAsia="zh-CN"/>
        </w:rPr>
        <w:t>90</w:t>
      </w:r>
      <w:r>
        <w:rPr>
          <w:rFonts w:hint="eastAsia" w:ascii="宋体"/>
          <w:color w:val="auto"/>
          <w:highlight w:val="none"/>
        </w:rPr>
        <w:t>m³，该站属</w:t>
      </w:r>
      <w:r>
        <w:rPr>
          <w:rFonts w:hint="eastAsia" w:ascii="宋体"/>
          <w:color w:val="auto"/>
          <w:highlight w:val="none"/>
          <w:lang w:val="en-US" w:eastAsia="zh-CN"/>
        </w:rPr>
        <w:t>三</w:t>
      </w:r>
      <w:r>
        <w:rPr>
          <w:rFonts w:hint="eastAsia" w:ascii="宋体"/>
          <w:color w:val="auto"/>
          <w:highlight w:val="none"/>
        </w:rPr>
        <w:t>级加油站。</w:t>
      </w:r>
    </w:p>
    <w:p w14:paraId="6B8D41BA">
      <w:pPr>
        <w:pStyle w:val="17"/>
        <w:widowControl w:val="0"/>
        <w:adjustRightInd w:val="0"/>
        <w:snapToGrid w:val="0"/>
        <w:spacing w:line="360" w:lineRule="auto"/>
        <w:outlineLvl w:val="9"/>
        <w:rPr>
          <w:color w:val="auto"/>
          <w:highlight w:val="none"/>
        </w:rPr>
      </w:pPr>
      <w:r>
        <w:rPr>
          <w:color w:val="auto"/>
          <w:highlight w:val="none"/>
        </w:rPr>
        <w:t>表</w:t>
      </w:r>
      <w:r>
        <w:rPr>
          <w:rFonts w:ascii="黑体" w:hAnsi="黑体"/>
          <w:color w:val="auto"/>
          <w:highlight w:val="none"/>
        </w:rPr>
        <w:t xml:space="preserve">2.1-1 </w:t>
      </w:r>
      <w:r>
        <w:rPr>
          <w:color w:val="auto"/>
          <w:highlight w:val="none"/>
        </w:rPr>
        <w:t>加油站的等级划分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097"/>
        <w:gridCol w:w="3104"/>
      </w:tblGrid>
      <w:tr w14:paraId="7D176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2" w:type="pct"/>
            <w:vMerge w:val="restart"/>
            <w:vAlign w:val="center"/>
          </w:tcPr>
          <w:p w14:paraId="6F4B13BD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highlight w:val="none"/>
              </w:rPr>
              <w:t>加油站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等级</w:t>
            </w:r>
          </w:p>
        </w:tc>
        <w:tc>
          <w:tcPr>
            <w:tcW w:w="3338" w:type="pct"/>
            <w:gridSpan w:val="2"/>
            <w:vAlign w:val="center"/>
          </w:tcPr>
          <w:p w14:paraId="7291ED40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highlight w:val="none"/>
              </w:rPr>
              <w:t>加油站油罐容积（m</w:t>
            </w:r>
            <w:r>
              <w:rPr>
                <w:rFonts w:ascii="宋体" w:hAnsi="宋体"/>
                <w:b/>
                <w:bCs/>
                <w:color w:val="auto"/>
                <w:highlight w:val="none"/>
                <w:vertAlign w:val="superscript"/>
              </w:rPr>
              <w:t>3</w:t>
            </w:r>
            <w:r>
              <w:rPr>
                <w:rFonts w:ascii="宋体" w:hAnsi="宋体"/>
                <w:b/>
                <w:bCs/>
                <w:color w:val="auto"/>
                <w:highlight w:val="none"/>
              </w:rPr>
              <w:t>）</w:t>
            </w:r>
          </w:p>
        </w:tc>
      </w:tr>
      <w:tr w14:paraId="1EA88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2" w:type="pct"/>
            <w:vMerge w:val="continue"/>
            <w:vAlign w:val="center"/>
          </w:tcPr>
          <w:p w14:paraId="0DD855DA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667" w:type="pct"/>
            <w:vAlign w:val="center"/>
          </w:tcPr>
          <w:p w14:paraId="516410CE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highlight w:val="none"/>
              </w:rPr>
              <w:t>总容积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V</w:t>
            </w:r>
          </w:p>
        </w:tc>
        <w:tc>
          <w:tcPr>
            <w:tcW w:w="1671" w:type="pct"/>
            <w:vAlign w:val="center"/>
          </w:tcPr>
          <w:p w14:paraId="543EEE57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highlight w:val="none"/>
              </w:rPr>
              <w:t>单罐容积</w:t>
            </w:r>
          </w:p>
        </w:tc>
      </w:tr>
      <w:tr w14:paraId="378ED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2" w:type="pct"/>
            <w:vAlign w:val="center"/>
          </w:tcPr>
          <w:p w14:paraId="6D015FA5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一级</w:t>
            </w:r>
          </w:p>
        </w:tc>
        <w:tc>
          <w:tcPr>
            <w:tcW w:w="1667" w:type="pct"/>
            <w:vAlign w:val="center"/>
          </w:tcPr>
          <w:p w14:paraId="341C103B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150＜V</w:t>
            </w:r>
            <w:r>
              <w:rPr>
                <w:rFonts w:hint="eastAsia" w:ascii="宋体" w:hAnsi="宋体"/>
                <w:color w:val="auto"/>
                <w:highlight w:val="none"/>
              </w:rPr>
              <w:t>≤</w:t>
            </w:r>
            <w:r>
              <w:rPr>
                <w:rFonts w:ascii="宋体" w:hAnsi="宋体"/>
                <w:color w:val="auto"/>
                <w:highlight w:val="none"/>
              </w:rPr>
              <w:t>210</w:t>
            </w:r>
          </w:p>
        </w:tc>
        <w:tc>
          <w:tcPr>
            <w:tcW w:w="1671" w:type="pct"/>
            <w:vAlign w:val="center"/>
          </w:tcPr>
          <w:p w14:paraId="1C4F7931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≤</w:t>
            </w:r>
            <w:r>
              <w:rPr>
                <w:rFonts w:ascii="宋体" w:hAnsi="宋体"/>
                <w:color w:val="auto"/>
                <w:highlight w:val="none"/>
              </w:rPr>
              <w:t>50</w:t>
            </w:r>
          </w:p>
        </w:tc>
      </w:tr>
      <w:tr w14:paraId="7E471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2" w:type="pct"/>
            <w:vAlign w:val="center"/>
          </w:tcPr>
          <w:p w14:paraId="2FDF050D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二级</w:t>
            </w:r>
          </w:p>
        </w:tc>
        <w:tc>
          <w:tcPr>
            <w:tcW w:w="1667" w:type="pct"/>
            <w:vAlign w:val="center"/>
          </w:tcPr>
          <w:p w14:paraId="4FCFAA32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90</w:t>
            </w:r>
            <w:r>
              <w:rPr>
                <w:rFonts w:hint="eastAsia" w:ascii="宋体" w:hAnsi="宋体"/>
                <w:color w:val="auto"/>
                <w:highlight w:val="none"/>
              </w:rPr>
              <w:t>＜</w:t>
            </w:r>
            <w:r>
              <w:rPr>
                <w:rFonts w:ascii="宋体" w:hAnsi="宋体"/>
                <w:color w:val="auto"/>
                <w:highlight w:val="none"/>
              </w:rPr>
              <w:t>V</w:t>
            </w:r>
            <w:r>
              <w:rPr>
                <w:rFonts w:hint="eastAsia" w:ascii="宋体" w:hAnsi="宋体"/>
                <w:color w:val="auto"/>
                <w:highlight w:val="none"/>
              </w:rPr>
              <w:t>≤</w:t>
            </w:r>
            <w:r>
              <w:rPr>
                <w:rFonts w:ascii="宋体" w:hAnsi="宋体"/>
                <w:color w:val="auto"/>
                <w:highlight w:val="none"/>
              </w:rPr>
              <w:t>150</w:t>
            </w:r>
          </w:p>
        </w:tc>
        <w:tc>
          <w:tcPr>
            <w:tcW w:w="1671" w:type="pct"/>
            <w:vAlign w:val="center"/>
          </w:tcPr>
          <w:p w14:paraId="474A02A9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≤</w:t>
            </w:r>
            <w:r>
              <w:rPr>
                <w:rFonts w:ascii="宋体" w:hAnsi="宋体"/>
                <w:color w:val="auto"/>
                <w:highlight w:val="none"/>
              </w:rPr>
              <w:t>50</w:t>
            </w:r>
          </w:p>
        </w:tc>
      </w:tr>
      <w:tr w14:paraId="3AF7B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2" w:type="pct"/>
            <w:vAlign w:val="center"/>
          </w:tcPr>
          <w:p w14:paraId="0382905C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三级</w:t>
            </w:r>
          </w:p>
        </w:tc>
        <w:tc>
          <w:tcPr>
            <w:tcW w:w="1667" w:type="pct"/>
            <w:vAlign w:val="center"/>
          </w:tcPr>
          <w:p w14:paraId="6374CBBE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V</w:t>
            </w:r>
            <w:r>
              <w:rPr>
                <w:rFonts w:hint="eastAsia" w:ascii="宋体" w:hAnsi="宋体"/>
                <w:color w:val="auto"/>
                <w:highlight w:val="none"/>
              </w:rPr>
              <w:t>≤</w:t>
            </w:r>
            <w:r>
              <w:rPr>
                <w:rFonts w:ascii="宋体" w:hAnsi="宋体"/>
                <w:color w:val="auto"/>
                <w:highlight w:val="none"/>
              </w:rPr>
              <w:t>90</w:t>
            </w:r>
          </w:p>
        </w:tc>
        <w:tc>
          <w:tcPr>
            <w:tcW w:w="1671" w:type="pct"/>
            <w:vAlign w:val="center"/>
          </w:tcPr>
          <w:p w14:paraId="5FEAD7B5">
            <w:pPr>
              <w:pStyle w:val="18"/>
              <w:widowControl w:val="0"/>
              <w:adjustRightInd w:val="0"/>
              <w:snapToGrid w:val="0"/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汽油</w:t>
            </w:r>
            <w:r>
              <w:rPr>
                <w:rFonts w:ascii="宋体" w:hAnsi="宋体"/>
                <w:color w:val="auto"/>
                <w:highlight w:val="none"/>
              </w:rPr>
              <w:t>罐</w:t>
            </w:r>
            <w:r>
              <w:rPr>
                <w:rFonts w:hint="eastAsia" w:ascii="宋体" w:hAnsi="宋体"/>
                <w:color w:val="auto"/>
                <w:highlight w:val="none"/>
              </w:rPr>
              <w:t>≤</w:t>
            </w:r>
            <w:r>
              <w:rPr>
                <w:rFonts w:ascii="宋体" w:hAnsi="宋体"/>
                <w:color w:val="auto"/>
                <w:highlight w:val="none"/>
              </w:rPr>
              <w:t>30，柴油罐</w:t>
            </w:r>
            <w:r>
              <w:rPr>
                <w:rFonts w:hint="eastAsia" w:ascii="宋体" w:hAnsi="宋体"/>
                <w:color w:val="auto"/>
                <w:highlight w:val="none"/>
              </w:rPr>
              <w:t>≤</w:t>
            </w:r>
            <w:r>
              <w:rPr>
                <w:rFonts w:ascii="宋体" w:hAnsi="宋体"/>
                <w:color w:val="auto"/>
                <w:highlight w:val="none"/>
              </w:rPr>
              <w:t>50</w:t>
            </w:r>
          </w:p>
        </w:tc>
      </w:tr>
    </w:tbl>
    <w:p w14:paraId="4B0BE48B">
      <w:pPr>
        <w:pStyle w:val="19"/>
        <w:widowControl w:val="0"/>
        <w:adjustRightInd w:val="0"/>
        <w:snapToGrid w:val="0"/>
        <w:spacing w:line="360" w:lineRule="auto"/>
        <w:ind w:firstLine="436"/>
        <w:rPr>
          <w:rFonts w:ascii="黑体" w:hAnsi="黑体" w:cs="黑体"/>
          <w:color w:val="auto"/>
          <w:highlight w:val="none"/>
        </w:rPr>
      </w:pPr>
      <w:r>
        <w:rPr>
          <w:rFonts w:hint="eastAsia" w:ascii="黑体" w:hAnsi="黑体" w:cs="黑体"/>
          <w:color w:val="auto"/>
          <w:highlight w:val="none"/>
        </w:rPr>
        <w:t>注：V为油罐总容积。柴油罐容积可折半计入油罐总容积。</w:t>
      </w:r>
    </w:p>
    <w:p w14:paraId="16D9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color w:val="auto"/>
          <w:sz w:val="28"/>
          <w:highlight w:val="none"/>
        </w:rPr>
      </w:pPr>
      <w:r>
        <w:rPr>
          <w:rFonts w:hint="eastAsia" w:ascii="宋体" w:hAnsi="宋体"/>
          <w:color w:val="auto"/>
          <w:sz w:val="28"/>
          <w:highlight w:val="none"/>
        </w:rPr>
        <w:t>该站现有职工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highlight w:val="none"/>
          <w:lang w:eastAsia="zh-CN"/>
        </w:rPr>
        <w:t>人</w:t>
      </w:r>
      <w:r>
        <w:rPr>
          <w:rFonts w:hint="eastAsia" w:ascii="宋体" w:hAnsi="宋体"/>
          <w:color w:val="auto"/>
          <w:sz w:val="28"/>
          <w:highlight w:val="none"/>
        </w:rPr>
        <w:t>，其中主要负责人1人，安全生产管理员1人。主要负责人和安全生产管理人员已参加了危险化学品安全管理培训，并取得考核合格证，详见附页。</w:t>
      </w:r>
    </w:p>
    <w:p w14:paraId="4772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中国石油天然气股份有限公司山东泰安销售分公司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于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2006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12月29日与泰安中圆石油制品销售中心签订了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加油站资产租赁合同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》，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租赁期十九年，2007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2月26日签订了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加油站租赁合同补充协议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详见附件。</w:t>
      </w:r>
    </w:p>
    <w:p w14:paraId="7DD09B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宋体" w:hAnsi="Times New Roman" w:eastAsia="宋体" w:cs="Times New Roman"/>
          <w:color w:val="auto"/>
          <w:sz w:val="28"/>
          <w:szCs w:val="20"/>
          <w:highlight w:val="none"/>
          <w:lang w:val="en-US" w:eastAsia="zh-CN" w:bidi="ar-SA"/>
        </w:rPr>
      </w:pPr>
      <w:r>
        <w:rPr>
          <w:rFonts w:hint="eastAsia" w:ascii="宋体" w:hAnsi="Times New Roman" w:eastAsia="宋体" w:cs="Times New Roman"/>
          <w:color w:val="auto"/>
          <w:sz w:val="28"/>
          <w:szCs w:val="20"/>
          <w:highlight w:val="none"/>
          <w:lang w:val="en-US" w:eastAsia="zh-CN" w:bidi="ar-SA"/>
        </w:rPr>
        <w:t>加油站于20</w:t>
      </w:r>
      <w:r>
        <w:rPr>
          <w:rFonts w:hint="eastAsia" w:ascii="宋体" w:cs="Times New Roman"/>
          <w:color w:val="auto"/>
          <w:sz w:val="28"/>
          <w:szCs w:val="20"/>
          <w:highlight w:val="none"/>
          <w:lang w:val="en-US" w:eastAsia="zh-CN" w:bidi="ar-SA"/>
        </w:rPr>
        <w:t>07</w:t>
      </w:r>
      <w:r>
        <w:rPr>
          <w:rFonts w:hint="eastAsia" w:ascii="宋体" w:hAnsi="Times New Roman" w:eastAsia="宋体" w:cs="Times New Roman"/>
          <w:color w:val="auto"/>
          <w:sz w:val="28"/>
          <w:szCs w:val="20"/>
          <w:highlight w:val="none"/>
          <w:lang w:val="en-US" w:eastAsia="zh-CN" w:bidi="ar-SA"/>
        </w:rPr>
        <w:t>年</w:t>
      </w:r>
      <w:r>
        <w:rPr>
          <w:rFonts w:hint="eastAsia" w:ascii="宋体" w:cs="Times New Roman"/>
          <w:color w:val="auto"/>
          <w:sz w:val="28"/>
          <w:szCs w:val="20"/>
          <w:highlight w:val="none"/>
          <w:lang w:val="en-US" w:eastAsia="zh-CN" w:bidi="ar-SA"/>
        </w:rPr>
        <w:t>4</w:t>
      </w:r>
      <w:r>
        <w:rPr>
          <w:rFonts w:hint="eastAsia" w:ascii="宋体" w:hAnsi="Times New Roman" w:eastAsia="宋体" w:cs="Times New Roman"/>
          <w:color w:val="auto"/>
          <w:sz w:val="28"/>
          <w:szCs w:val="20"/>
          <w:highlight w:val="none"/>
          <w:lang w:val="en-US" w:eastAsia="zh-CN" w:bidi="ar-SA"/>
        </w:rPr>
        <w:t>月</w:t>
      </w:r>
      <w:r>
        <w:rPr>
          <w:rFonts w:hint="eastAsia" w:ascii="宋体" w:cs="Times New Roman"/>
          <w:color w:val="auto"/>
          <w:sz w:val="28"/>
          <w:szCs w:val="20"/>
          <w:highlight w:val="none"/>
          <w:lang w:val="en-US" w:eastAsia="zh-CN" w:bidi="ar-SA"/>
        </w:rPr>
        <w:t>20</w:t>
      </w:r>
      <w:r>
        <w:rPr>
          <w:rFonts w:hint="eastAsia" w:ascii="宋体" w:hAnsi="Times New Roman" w:eastAsia="宋体" w:cs="Times New Roman"/>
          <w:color w:val="auto"/>
          <w:sz w:val="28"/>
          <w:szCs w:val="20"/>
          <w:highlight w:val="none"/>
          <w:lang w:val="en-US" w:eastAsia="zh-CN" w:bidi="ar-SA"/>
        </w:rPr>
        <w:t>日取得了</w:t>
      </w:r>
      <w:r>
        <w:rPr>
          <w:rFonts w:hint="eastAsia" w:ascii="宋体" w:cs="Times New Roman"/>
          <w:color w:val="auto"/>
          <w:sz w:val="28"/>
          <w:szCs w:val="20"/>
          <w:highlight w:val="none"/>
          <w:lang w:val="en-US" w:eastAsia="zh-CN" w:bidi="ar-SA"/>
        </w:rPr>
        <w:t>泰安市公安消防分局出具的</w:t>
      </w:r>
      <w:r>
        <w:rPr>
          <w:rFonts w:hint="eastAsia" w:ascii="宋体"/>
          <w:color w:val="auto"/>
          <w:highlight w:val="none"/>
        </w:rPr>
        <w:t>《</w:t>
      </w:r>
      <w:r>
        <w:rPr>
          <w:rFonts w:hint="eastAsia" w:ascii="宋体"/>
          <w:color w:val="auto"/>
          <w:highlight w:val="none"/>
          <w:lang w:val="en-US" w:eastAsia="zh-CN"/>
        </w:rPr>
        <w:t>建筑工程消防验收意见书</w:t>
      </w:r>
      <w:r>
        <w:rPr>
          <w:rFonts w:hint="eastAsia" w:ascii="宋体"/>
          <w:color w:val="auto"/>
          <w:highlight w:val="none"/>
        </w:rPr>
        <w:t>》</w:t>
      </w:r>
      <w:r>
        <w:rPr>
          <w:rFonts w:hint="eastAsia" w:ascii="宋体" w:hAnsi="Times New Roman" w:eastAsia="宋体" w:cs="Times New Roman"/>
          <w:color w:val="auto"/>
          <w:sz w:val="28"/>
          <w:szCs w:val="20"/>
          <w:highlight w:val="none"/>
          <w:lang w:val="en-US" w:eastAsia="zh-CN" w:bidi="ar-SA"/>
        </w:rPr>
        <w:t>，证书编号：</w:t>
      </w:r>
      <w:r>
        <w:rPr>
          <w:rFonts w:hint="eastAsia" w:ascii="宋体" w:cs="Times New Roman"/>
          <w:color w:val="auto"/>
          <w:sz w:val="28"/>
          <w:szCs w:val="20"/>
          <w:highlight w:val="none"/>
          <w:lang w:val="en-US" w:eastAsia="zh-CN" w:bidi="ar-SA"/>
        </w:rPr>
        <w:t>泰</w:t>
      </w:r>
      <w:r>
        <w:rPr>
          <w:rFonts w:hint="eastAsia" w:ascii="宋体" w:hAnsi="Times New Roman" w:eastAsia="宋体" w:cs="Times New Roman"/>
          <w:color w:val="auto"/>
          <w:sz w:val="28"/>
          <w:szCs w:val="20"/>
          <w:highlight w:val="none"/>
          <w:lang w:val="en-US" w:eastAsia="zh-CN" w:bidi="ar-SA"/>
        </w:rPr>
        <w:t>公消</w:t>
      </w:r>
      <w:r>
        <w:rPr>
          <w:rFonts w:hint="eastAsia" w:ascii="宋体" w:cs="Times New Roman"/>
          <w:color w:val="auto"/>
          <w:sz w:val="28"/>
          <w:szCs w:val="20"/>
          <w:highlight w:val="none"/>
          <w:lang w:val="en-US" w:eastAsia="zh-CN" w:bidi="ar-SA"/>
        </w:rPr>
        <w:t>验字</w:t>
      </w:r>
      <w:r>
        <w:rPr>
          <w:rFonts w:hint="eastAsia" w:ascii="宋体"/>
          <w:color w:val="auto"/>
          <w:highlight w:val="none"/>
        </w:rPr>
        <w:t>[20</w:t>
      </w:r>
      <w:r>
        <w:rPr>
          <w:rFonts w:hint="eastAsia" w:ascii="宋体"/>
          <w:color w:val="auto"/>
          <w:highlight w:val="none"/>
          <w:lang w:val="en-US" w:eastAsia="zh-CN"/>
        </w:rPr>
        <w:t>07</w:t>
      </w:r>
      <w:r>
        <w:rPr>
          <w:rFonts w:hint="eastAsia" w:ascii="宋体"/>
          <w:color w:val="auto"/>
          <w:highlight w:val="none"/>
        </w:rPr>
        <w:t>]</w:t>
      </w:r>
      <w:r>
        <w:rPr>
          <w:rFonts w:hint="eastAsia" w:ascii="宋体" w:cs="Times New Roman"/>
          <w:color w:val="auto"/>
          <w:sz w:val="28"/>
          <w:szCs w:val="20"/>
          <w:highlight w:val="none"/>
          <w:lang w:val="en-US" w:eastAsia="zh-CN" w:bidi="ar-SA"/>
        </w:rPr>
        <w:t>第74</w:t>
      </w:r>
      <w:r>
        <w:rPr>
          <w:rFonts w:hint="eastAsia" w:ascii="宋体" w:hAnsi="Times New Roman" w:eastAsia="宋体" w:cs="Times New Roman"/>
          <w:color w:val="auto"/>
          <w:sz w:val="28"/>
          <w:szCs w:val="20"/>
          <w:highlight w:val="none"/>
          <w:lang w:val="en-US" w:eastAsia="zh-CN" w:bidi="ar-SA"/>
        </w:rPr>
        <w:t>号，详见附件。</w:t>
      </w:r>
    </w:p>
    <w:p w14:paraId="23A031E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加油站于</w:t>
      </w:r>
      <w:r>
        <w:rPr>
          <w:rFonts w:ascii="宋体"/>
          <w:color w:val="auto"/>
          <w:highlight w:val="none"/>
        </w:rPr>
        <w:t>20</w:t>
      </w:r>
      <w:r>
        <w:rPr>
          <w:rFonts w:hint="eastAsia" w:ascii="宋体"/>
          <w:color w:val="auto"/>
          <w:highlight w:val="none"/>
        </w:rPr>
        <w:t>2</w:t>
      </w:r>
      <w:r>
        <w:rPr>
          <w:rFonts w:hint="eastAsia" w:ascii="宋体"/>
          <w:color w:val="auto"/>
          <w:highlight w:val="none"/>
          <w:lang w:val="en-US" w:eastAsia="zh-CN"/>
        </w:rPr>
        <w:t>2</w:t>
      </w:r>
      <w:r>
        <w:rPr>
          <w:rFonts w:ascii="宋体"/>
          <w:color w:val="auto"/>
          <w:highlight w:val="none"/>
        </w:rPr>
        <w:t>年</w:t>
      </w:r>
      <w:r>
        <w:rPr>
          <w:rFonts w:hint="eastAsia" w:ascii="宋体"/>
          <w:color w:val="auto"/>
          <w:highlight w:val="none"/>
          <w:lang w:val="en-US" w:eastAsia="zh-CN"/>
        </w:rPr>
        <w:t>01</w:t>
      </w:r>
      <w:r>
        <w:rPr>
          <w:rFonts w:ascii="宋体"/>
          <w:color w:val="auto"/>
          <w:highlight w:val="none"/>
        </w:rPr>
        <w:t>月</w:t>
      </w:r>
      <w:r>
        <w:rPr>
          <w:rFonts w:hint="eastAsia" w:ascii="宋体"/>
          <w:color w:val="auto"/>
          <w:highlight w:val="none"/>
          <w:lang w:val="en-US" w:eastAsia="zh-CN"/>
        </w:rPr>
        <w:t>06</w:t>
      </w:r>
      <w:r>
        <w:rPr>
          <w:rFonts w:ascii="宋体"/>
          <w:color w:val="auto"/>
          <w:highlight w:val="none"/>
        </w:rPr>
        <w:t>日</w:t>
      </w:r>
      <w:r>
        <w:rPr>
          <w:rFonts w:hint="eastAsia" w:ascii="宋体"/>
          <w:color w:val="auto"/>
          <w:highlight w:val="none"/>
        </w:rPr>
        <w:t>换发了</w:t>
      </w:r>
      <w:r>
        <w:rPr>
          <w:rFonts w:ascii="宋体"/>
          <w:color w:val="auto"/>
          <w:highlight w:val="none"/>
        </w:rPr>
        <w:t>《成品油零售经营批准证书》，证书编号：</w:t>
      </w:r>
      <w:r>
        <w:rPr>
          <w:rFonts w:hint="eastAsia" w:ascii="宋体"/>
          <w:color w:val="auto"/>
          <w:highlight w:val="none"/>
        </w:rPr>
        <w:t>鲁油零售证书第37090</w:t>
      </w:r>
      <w:r>
        <w:rPr>
          <w:rFonts w:hint="eastAsia" w:ascii="宋体"/>
          <w:color w:val="auto"/>
          <w:highlight w:val="none"/>
          <w:lang w:val="en-US" w:eastAsia="zh-CN"/>
        </w:rPr>
        <w:t>02007</w:t>
      </w:r>
      <w:r>
        <w:rPr>
          <w:rFonts w:ascii="宋体"/>
          <w:color w:val="auto"/>
          <w:highlight w:val="none"/>
        </w:rPr>
        <w:t>号</w:t>
      </w:r>
      <w:r>
        <w:rPr>
          <w:rFonts w:hint="eastAsia" w:ascii="宋体"/>
          <w:color w:val="auto"/>
          <w:highlight w:val="none"/>
        </w:rPr>
        <w:t>，证书有效期至202</w:t>
      </w:r>
      <w:r>
        <w:rPr>
          <w:rFonts w:hint="eastAsia" w:ascii="宋体"/>
          <w:color w:val="auto"/>
          <w:highlight w:val="none"/>
          <w:lang w:val="en-US" w:eastAsia="zh-CN"/>
        </w:rPr>
        <w:t>7</w:t>
      </w:r>
      <w:r>
        <w:rPr>
          <w:rFonts w:hint="eastAsia" w:ascii="宋体"/>
          <w:color w:val="auto"/>
          <w:highlight w:val="none"/>
        </w:rPr>
        <w:t>年</w:t>
      </w:r>
      <w:r>
        <w:rPr>
          <w:rFonts w:hint="eastAsia" w:ascii="宋体"/>
          <w:color w:val="auto"/>
          <w:highlight w:val="none"/>
          <w:lang w:val="en-US" w:eastAsia="zh-CN"/>
        </w:rPr>
        <w:t>01</w:t>
      </w:r>
      <w:r>
        <w:rPr>
          <w:rFonts w:hint="eastAsia" w:ascii="宋体"/>
          <w:color w:val="auto"/>
          <w:highlight w:val="none"/>
        </w:rPr>
        <w:t>月</w:t>
      </w:r>
      <w:r>
        <w:rPr>
          <w:rFonts w:hint="eastAsia" w:ascii="宋体"/>
          <w:color w:val="auto"/>
          <w:highlight w:val="none"/>
          <w:lang w:val="en-US" w:eastAsia="zh-CN"/>
        </w:rPr>
        <w:t>06</w:t>
      </w:r>
      <w:r>
        <w:rPr>
          <w:rFonts w:hint="eastAsia" w:ascii="宋体"/>
          <w:color w:val="auto"/>
          <w:highlight w:val="none"/>
        </w:rPr>
        <w:t>日，证书见附件</w:t>
      </w:r>
      <w:r>
        <w:rPr>
          <w:rFonts w:ascii="宋体"/>
          <w:color w:val="auto"/>
          <w:highlight w:val="none"/>
        </w:rPr>
        <w:t>。</w:t>
      </w:r>
    </w:p>
    <w:p w14:paraId="1E0E052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加油站于</w:t>
      </w:r>
      <w:r>
        <w:rPr>
          <w:rFonts w:ascii="宋体"/>
          <w:color w:val="auto"/>
          <w:highlight w:val="none"/>
        </w:rPr>
        <w:t>20</w:t>
      </w:r>
      <w:r>
        <w:rPr>
          <w:rFonts w:hint="eastAsia" w:ascii="宋体"/>
          <w:color w:val="auto"/>
          <w:highlight w:val="none"/>
        </w:rPr>
        <w:t>2</w:t>
      </w:r>
      <w:r>
        <w:rPr>
          <w:rFonts w:hint="eastAsia" w:ascii="宋体"/>
          <w:color w:val="auto"/>
          <w:highlight w:val="none"/>
          <w:lang w:val="en-US" w:eastAsia="zh-CN"/>
        </w:rPr>
        <w:t>2</w:t>
      </w:r>
      <w:r>
        <w:rPr>
          <w:rFonts w:hint="eastAsia" w:ascii="宋体"/>
          <w:color w:val="auto"/>
          <w:highlight w:val="none"/>
        </w:rPr>
        <w:t>年</w:t>
      </w:r>
      <w:r>
        <w:rPr>
          <w:rFonts w:hint="eastAsia" w:ascii="宋体"/>
          <w:color w:val="auto"/>
          <w:highlight w:val="none"/>
          <w:lang w:val="en-US" w:eastAsia="zh-CN"/>
        </w:rPr>
        <w:t>5</w:t>
      </w:r>
      <w:r>
        <w:rPr>
          <w:rFonts w:hint="eastAsia" w:ascii="宋体"/>
          <w:color w:val="auto"/>
          <w:highlight w:val="none"/>
        </w:rPr>
        <w:t>月</w:t>
      </w:r>
      <w:r>
        <w:rPr>
          <w:rFonts w:hint="eastAsia" w:ascii="宋体"/>
          <w:color w:val="auto"/>
          <w:highlight w:val="none"/>
          <w:lang w:val="en-US" w:eastAsia="zh-CN"/>
        </w:rPr>
        <w:t>17</w:t>
      </w:r>
      <w:r>
        <w:rPr>
          <w:rFonts w:hint="eastAsia" w:ascii="宋体"/>
          <w:color w:val="auto"/>
          <w:highlight w:val="none"/>
        </w:rPr>
        <w:t>日换发了《危险化学品经营许可证》，证书编号：鲁泰危化经[20</w:t>
      </w:r>
      <w:r>
        <w:rPr>
          <w:rFonts w:hint="eastAsia" w:ascii="宋体"/>
          <w:color w:val="auto"/>
          <w:highlight w:val="none"/>
          <w:lang w:val="en-US" w:eastAsia="zh-CN"/>
        </w:rPr>
        <w:t>22</w:t>
      </w:r>
      <w:r>
        <w:rPr>
          <w:rFonts w:hint="eastAsia" w:ascii="宋体"/>
          <w:color w:val="auto"/>
          <w:highlight w:val="none"/>
        </w:rPr>
        <w:t>]000</w:t>
      </w:r>
      <w:r>
        <w:rPr>
          <w:rFonts w:hint="eastAsia" w:ascii="宋体"/>
          <w:color w:val="auto"/>
          <w:highlight w:val="none"/>
          <w:lang w:val="en-US" w:eastAsia="zh-CN"/>
        </w:rPr>
        <w:t>508</w:t>
      </w:r>
      <w:r>
        <w:rPr>
          <w:rFonts w:hint="eastAsia" w:ascii="宋体"/>
          <w:color w:val="auto"/>
          <w:highlight w:val="none"/>
        </w:rPr>
        <w:t>号，证书有效期至202</w:t>
      </w:r>
      <w:r>
        <w:rPr>
          <w:rFonts w:hint="eastAsia" w:ascii="宋体"/>
          <w:color w:val="auto"/>
          <w:highlight w:val="none"/>
          <w:lang w:val="en-US" w:eastAsia="zh-CN"/>
        </w:rPr>
        <w:t>5</w:t>
      </w:r>
      <w:r>
        <w:rPr>
          <w:rFonts w:hint="eastAsia" w:ascii="宋体"/>
          <w:color w:val="auto"/>
          <w:highlight w:val="none"/>
        </w:rPr>
        <w:t>年</w:t>
      </w:r>
      <w:r>
        <w:rPr>
          <w:rFonts w:hint="eastAsia" w:ascii="宋体"/>
          <w:color w:val="auto"/>
          <w:highlight w:val="none"/>
          <w:lang w:val="en-US" w:eastAsia="zh-CN"/>
        </w:rPr>
        <w:t>5</w:t>
      </w:r>
      <w:r>
        <w:rPr>
          <w:rFonts w:hint="eastAsia" w:ascii="宋体"/>
          <w:color w:val="auto"/>
          <w:highlight w:val="none"/>
        </w:rPr>
        <w:t>月</w:t>
      </w:r>
      <w:r>
        <w:rPr>
          <w:rFonts w:hint="eastAsia" w:ascii="宋体"/>
          <w:color w:val="auto"/>
          <w:highlight w:val="none"/>
          <w:lang w:val="en-US" w:eastAsia="zh-CN"/>
        </w:rPr>
        <w:t>20</w:t>
      </w:r>
      <w:r>
        <w:rPr>
          <w:rFonts w:hint="eastAsia" w:ascii="宋体"/>
          <w:color w:val="auto"/>
          <w:highlight w:val="none"/>
        </w:rPr>
        <w:t>日，证书见附件。</w:t>
      </w:r>
    </w:p>
    <w:p w14:paraId="69236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color w:val="auto"/>
          <w:sz w:val="28"/>
          <w:highlight w:val="none"/>
        </w:rPr>
      </w:pPr>
      <w:r>
        <w:rPr>
          <w:rFonts w:hint="eastAsia" w:ascii="宋体" w:hAnsi="宋体"/>
          <w:color w:val="auto"/>
          <w:sz w:val="28"/>
          <w:highlight w:val="none"/>
        </w:rPr>
        <w:t>该站编制了生产安全事故应急预案，于202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5年1</w:t>
      </w:r>
      <w:r>
        <w:rPr>
          <w:rFonts w:hint="eastAsia" w:ascii="宋体" w:hAnsi="宋体"/>
          <w:color w:val="auto"/>
          <w:sz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8"/>
          <w:highlight w:val="none"/>
        </w:rPr>
        <w:t>日在泰安市应急管理局进行了备案，备案编号为：3709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highlight w:val="none"/>
        </w:rPr>
        <w:t>-202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highlight w:val="none"/>
        </w:rPr>
        <w:t>-0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004</w:t>
      </w:r>
      <w:r>
        <w:rPr>
          <w:rFonts w:hint="eastAsia" w:ascii="宋体" w:hAnsi="宋体"/>
          <w:color w:val="auto"/>
          <w:sz w:val="28"/>
          <w:highlight w:val="none"/>
        </w:rPr>
        <w:t>，详见附件。</w:t>
      </w:r>
    </w:p>
    <w:p w14:paraId="0770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color w:val="auto"/>
          <w:sz w:val="28"/>
          <w:highlight w:val="none"/>
        </w:rPr>
      </w:pPr>
      <w:r>
        <w:rPr>
          <w:rFonts w:hint="eastAsia" w:ascii="宋体" w:hAnsi="宋体"/>
          <w:color w:val="auto"/>
          <w:sz w:val="28"/>
          <w:highlight w:val="none"/>
        </w:rPr>
        <w:t>山东天科防雷工程有限公司对该站进行了相关防雷设施的检测，出具了合格的《雷电防护装置定期检测报告》，报告编号：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（1122016001）[</w:t>
      </w:r>
      <w:r>
        <w:rPr>
          <w:rFonts w:hint="eastAsia" w:ascii="宋体" w:hAnsi="宋体"/>
          <w:color w:val="auto"/>
          <w:sz w:val="28"/>
          <w:highlight w:val="none"/>
        </w:rPr>
        <w:t>2024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]</w:t>
      </w:r>
      <w:r>
        <w:rPr>
          <w:rFonts w:hint="eastAsia" w:ascii="宋体" w:hAnsi="宋体"/>
          <w:color w:val="auto"/>
          <w:sz w:val="28"/>
          <w:highlight w:val="none"/>
        </w:rPr>
        <w:t>TA-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0329</w:t>
      </w:r>
      <w:r>
        <w:rPr>
          <w:rFonts w:hint="eastAsia" w:ascii="宋体" w:hAnsi="宋体"/>
          <w:color w:val="auto"/>
          <w:sz w:val="28"/>
          <w:highlight w:val="none"/>
        </w:rPr>
        <w:t>号，防雷类别：二类，结论为“合格：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加油站</w:t>
      </w:r>
      <w:r>
        <w:rPr>
          <w:rFonts w:hint="eastAsia" w:ascii="宋体" w:hAnsi="宋体"/>
          <w:color w:val="auto"/>
          <w:sz w:val="28"/>
          <w:highlight w:val="none"/>
        </w:rPr>
        <w:t>雷电防护装置符合现行国家防雷规范标准要求”，有效期至202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03</w:t>
      </w:r>
      <w:r>
        <w:rPr>
          <w:rFonts w:hint="eastAsia" w:ascii="宋体" w:hAnsi="宋体"/>
          <w:color w:val="auto"/>
          <w:sz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8"/>
          <w:highlight w:val="none"/>
        </w:rPr>
        <w:t>日，检测报告见附件。</w:t>
      </w:r>
    </w:p>
    <w:p w14:paraId="321751C7">
      <w:pPr>
        <w:pStyle w:val="15"/>
        <w:widowControl w:val="0"/>
        <w:adjustRightInd w:val="0"/>
        <w:snapToGrid w:val="0"/>
        <w:spacing w:line="360" w:lineRule="auto"/>
        <w:ind w:firstLine="560"/>
        <w:rPr>
          <w:rFonts w:hint="eastAsia"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该站在中国</w:t>
      </w:r>
      <w:r>
        <w:rPr>
          <w:rFonts w:hint="eastAsia" w:ascii="宋体"/>
          <w:color w:val="auto"/>
          <w:highlight w:val="none"/>
          <w:lang w:val="en-US" w:eastAsia="zh-CN"/>
        </w:rPr>
        <w:t>太平洋财产</w:t>
      </w:r>
      <w:r>
        <w:rPr>
          <w:rFonts w:hint="eastAsia" w:ascii="宋体"/>
          <w:color w:val="auto"/>
          <w:highlight w:val="none"/>
        </w:rPr>
        <w:t>保险股份有限公司</w:t>
      </w:r>
      <w:r>
        <w:rPr>
          <w:rFonts w:hint="eastAsia" w:ascii="宋体"/>
          <w:color w:val="auto"/>
          <w:highlight w:val="none"/>
          <w:lang w:val="en-US" w:eastAsia="zh-CN"/>
        </w:rPr>
        <w:t>北京分公司</w:t>
      </w:r>
      <w:r>
        <w:rPr>
          <w:rFonts w:hint="eastAsia" w:ascii="宋体"/>
          <w:color w:val="auto"/>
          <w:highlight w:val="none"/>
        </w:rPr>
        <w:t>投保安全生产责任保险，保险期限202</w:t>
      </w:r>
      <w:r>
        <w:rPr>
          <w:rFonts w:hint="eastAsia" w:ascii="宋体"/>
          <w:color w:val="auto"/>
          <w:highlight w:val="none"/>
          <w:lang w:val="en-US" w:eastAsia="zh-CN"/>
        </w:rPr>
        <w:t>5</w:t>
      </w:r>
      <w:r>
        <w:rPr>
          <w:rFonts w:hint="eastAsia" w:ascii="宋体"/>
          <w:color w:val="auto"/>
          <w:highlight w:val="none"/>
        </w:rPr>
        <w:t>年</w:t>
      </w:r>
      <w:r>
        <w:rPr>
          <w:rFonts w:hint="eastAsia" w:ascii="宋体"/>
          <w:color w:val="auto"/>
          <w:highlight w:val="none"/>
          <w:lang w:val="en-US" w:eastAsia="zh-CN"/>
        </w:rPr>
        <w:t>1</w:t>
      </w:r>
      <w:r>
        <w:rPr>
          <w:rFonts w:hint="eastAsia" w:ascii="宋体"/>
          <w:color w:val="auto"/>
          <w:highlight w:val="none"/>
        </w:rPr>
        <w:t>月</w:t>
      </w:r>
      <w:r>
        <w:rPr>
          <w:rFonts w:hint="eastAsia" w:ascii="宋体"/>
          <w:color w:val="auto"/>
          <w:highlight w:val="none"/>
          <w:lang w:val="en-US" w:eastAsia="zh-CN"/>
        </w:rPr>
        <w:t>1</w:t>
      </w:r>
      <w:r>
        <w:rPr>
          <w:rFonts w:hint="eastAsia" w:ascii="宋体"/>
          <w:color w:val="auto"/>
          <w:highlight w:val="none"/>
        </w:rPr>
        <w:t>日至2025年</w:t>
      </w:r>
      <w:r>
        <w:rPr>
          <w:rFonts w:hint="eastAsia" w:ascii="宋体"/>
          <w:color w:val="auto"/>
          <w:highlight w:val="none"/>
          <w:lang w:val="en-US" w:eastAsia="zh-CN"/>
        </w:rPr>
        <w:t>12</w:t>
      </w:r>
      <w:r>
        <w:rPr>
          <w:rFonts w:hint="eastAsia" w:ascii="宋体"/>
          <w:color w:val="auto"/>
          <w:highlight w:val="none"/>
        </w:rPr>
        <w:t>月</w:t>
      </w:r>
      <w:r>
        <w:rPr>
          <w:rFonts w:hint="eastAsia" w:ascii="宋体"/>
          <w:color w:val="auto"/>
          <w:highlight w:val="none"/>
          <w:lang w:val="en-US" w:eastAsia="zh-CN"/>
        </w:rPr>
        <w:t>31</w:t>
      </w:r>
      <w:r>
        <w:rPr>
          <w:rFonts w:hint="eastAsia" w:ascii="宋体"/>
          <w:color w:val="auto"/>
          <w:highlight w:val="none"/>
        </w:rPr>
        <w:t>日，详见附件。</w:t>
      </w:r>
    </w:p>
    <w:p w14:paraId="0693CF36">
      <w:pPr>
        <w:pStyle w:val="15"/>
        <w:widowControl w:val="0"/>
        <w:adjustRightInd w:val="0"/>
        <w:snapToGrid w:val="0"/>
        <w:spacing w:line="360" w:lineRule="auto"/>
        <w:ind w:firstLine="560"/>
        <w:rPr>
          <w:rFonts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该站建立健全了安全生产责任制、安全生产规章制度和安全操作规程，执行情况较好。</w:t>
      </w:r>
    </w:p>
    <w:p w14:paraId="79A8433E">
      <w:pPr>
        <w:pStyle w:val="15"/>
        <w:widowControl w:val="0"/>
        <w:adjustRightInd w:val="0"/>
        <w:snapToGrid w:val="0"/>
        <w:spacing w:line="360" w:lineRule="auto"/>
        <w:ind w:firstLine="560"/>
        <w:rPr>
          <w:rFonts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该站各项安全管理制度健全，有生产经营单位生产事故应急预案，并定期进行应急救援演练。该加油站消防器材配备齐全，加油站配备了35kg推车式干粉灭火器</w:t>
      </w:r>
      <w:r>
        <w:rPr>
          <w:rFonts w:hint="eastAsia" w:ascii="宋体"/>
          <w:color w:val="auto"/>
          <w:highlight w:val="none"/>
          <w:lang w:val="en-US" w:eastAsia="zh-CN"/>
        </w:rPr>
        <w:t>2</w:t>
      </w:r>
      <w:r>
        <w:rPr>
          <w:rFonts w:hint="eastAsia" w:ascii="宋体"/>
          <w:color w:val="auto"/>
          <w:highlight w:val="none"/>
        </w:rPr>
        <w:t>具，</w:t>
      </w:r>
      <w:r>
        <w:rPr>
          <w:rFonts w:hint="eastAsia" w:ascii="宋体"/>
          <w:color w:val="auto"/>
          <w:highlight w:val="none"/>
          <w:lang w:val="en-US" w:eastAsia="zh-CN"/>
        </w:rPr>
        <w:t>5</w:t>
      </w:r>
      <w:r>
        <w:rPr>
          <w:rFonts w:hint="eastAsia" w:ascii="宋体"/>
          <w:color w:val="auto"/>
          <w:highlight w:val="none"/>
        </w:rPr>
        <w:t>kg手提式干粉灭火器</w:t>
      </w:r>
      <w:r>
        <w:rPr>
          <w:rFonts w:hint="eastAsia" w:ascii="宋体"/>
          <w:color w:val="auto"/>
          <w:highlight w:val="none"/>
          <w:lang w:val="en-US" w:eastAsia="zh-CN"/>
        </w:rPr>
        <w:t>8</w:t>
      </w:r>
      <w:r>
        <w:rPr>
          <w:rFonts w:hint="eastAsia" w:ascii="宋体"/>
          <w:color w:val="auto"/>
          <w:highlight w:val="none"/>
        </w:rPr>
        <w:t>具，CO</w:t>
      </w:r>
      <w:r>
        <w:rPr>
          <w:rFonts w:hint="eastAsia" w:ascii="宋体"/>
          <w:color w:val="auto"/>
          <w:highlight w:val="none"/>
          <w:vertAlign w:val="subscript"/>
        </w:rPr>
        <w:t>2</w:t>
      </w:r>
      <w:r>
        <w:rPr>
          <w:rFonts w:hint="eastAsia" w:ascii="宋体"/>
          <w:color w:val="auto"/>
          <w:highlight w:val="none"/>
        </w:rPr>
        <w:t>灭火器</w:t>
      </w:r>
      <w:r>
        <w:rPr>
          <w:rFonts w:hint="eastAsia" w:ascii="宋体"/>
          <w:color w:val="auto"/>
          <w:highlight w:val="none"/>
          <w:lang w:val="en-US" w:eastAsia="zh-CN"/>
        </w:rPr>
        <w:t>7</w:t>
      </w:r>
      <w:r>
        <w:rPr>
          <w:rFonts w:hint="eastAsia" w:ascii="宋体"/>
          <w:color w:val="auto"/>
          <w:highlight w:val="none"/>
        </w:rPr>
        <w:t>具，灭火毯</w:t>
      </w:r>
      <w:r>
        <w:rPr>
          <w:rFonts w:hint="eastAsia" w:ascii="宋体"/>
          <w:color w:val="auto"/>
          <w:highlight w:val="none"/>
          <w:lang w:val="en-US" w:eastAsia="zh-CN"/>
        </w:rPr>
        <w:t>4</w:t>
      </w:r>
      <w:r>
        <w:rPr>
          <w:rFonts w:hint="eastAsia" w:ascii="宋体"/>
          <w:color w:val="auto"/>
          <w:highlight w:val="none"/>
        </w:rPr>
        <w:t>块，消防锨</w:t>
      </w:r>
      <w:r>
        <w:rPr>
          <w:rFonts w:hint="eastAsia" w:ascii="宋体"/>
          <w:color w:val="auto"/>
          <w:highlight w:val="none"/>
          <w:lang w:val="en-US" w:eastAsia="zh-CN"/>
        </w:rPr>
        <w:t>4</w:t>
      </w:r>
      <w:r>
        <w:rPr>
          <w:rFonts w:hint="eastAsia" w:ascii="宋体"/>
          <w:color w:val="auto"/>
          <w:highlight w:val="none"/>
        </w:rPr>
        <w:t>把，消防桶</w:t>
      </w:r>
      <w:r>
        <w:rPr>
          <w:rFonts w:hint="eastAsia" w:ascii="宋体"/>
          <w:color w:val="auto"/>
          <w:highlight w:val="none"/>
          <w:lang w:val="en-US" w:eastAsia="zh-CN"/>
        </w:rPr>
        <w:t>4</w:t>
      </w:r>
      <w:r>
        <w:rPr>
          <w:rFonts w:hint="eastAsia" w:ascii="宋体"/>
          <w:color w:val="auto"/>
          <w:highlight w:val="none"/>
        </w:rPr>
        <w:t>个，消防沙池2m</w:t>
      </w:r>
      <w:r>
        <w:rPr>
          <w:rFonts w:hint="eastAsia" w:ascii="宋体"/>
          <w:color w:val="auto"/>
          <w:highlight w:val="none"/>
          <w:vertAlign w:val="superscript"/>
        </w:rPr>
        <w:t>3</w:t>
      </w:r>
      <w:r>
        <w:rPr>
          <w:rFonts w:hint="eastAsia" w:ascii="宋体"/>
          <w:color w:val="auto"/>
          <w:highlight w:val="none"/>
        </w:rPr>
        <w:t>。</w:t>
      </w:r>
    </w:p>
    <w:p w14:paraId="1FA428A8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24DB6B2C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09EFA583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0FD8E27E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5305BCBF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65846871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3F554A76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3846262F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6041E1D4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2EA83C30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0808F789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365649C2"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783840" cy="2087880"/>
            <wp:effectExtent l="0" t="0" r="5080" b="0"/>
            <wp:docPr id="3" name="图片 3" descr="IMG_20250228_08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228_0852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849880" cy="2137410"/>
            <wp:effectExtent l="0" t="0" r="0" b="11430"/>
            <wp:docPr id="4" name="图片 4" descr="IMG_20250228_09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0228_0901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C9A21">
      <w:pPr>
        <w:jc w:val="center"/>
        <w:rPr>
          <w:rFonts w:hint="default" w:ascii="宋体"/>
          <w:color w:val="auto"/>
          <w:kern w:val="0"/>
          <w:sz w:val="28"/>
          <w:szCs w:val="20"/>
          <w:lang w:val="en-US" w:eastAsia="zh-CN"/>
        </w:rPr>
      </w:pPr>
      <w:r>
        <w:rPr>
          <w:rFonts w:hint="default" w:ascii="宋体"/>
          <w:color w:val="auto"/>
          <w:kern w:val="0"/>
          <w:sz w:val="28"/>
          <w:szCs w:val="20"/>
          <w:lang w:val="en-US" w:eastAsia="zh-CN"/>
        </w:rPr>
        <w:drawing>
          <wp:inline distT="0" distB="0" distL="114300" distR="114300">
            <wp:extent cx="2493010" cy="4432300"/>
            <wp:effectExtent l="0" t="0" r="6350" b="2540"/>
            <wp:docPr id="7" name="图片 7" descr="808c9a1a8deeede40628681c280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08c9a1a8deeede40628681c28006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/>
          <w:color w:val="auto"/>
          <w:kern w:val="0"/>
          <w:sz w:val="28"/>
          <w:szCs w:val="20"/>
          <w:lang w:val="en-US" w:eastAsia="zh-CN"/>
        </w:rPr>
        <w:drawing>
          <wp:inline distT="0" distB="0" distL="114300" distR="114300">
            <wp:extent cx="2818765" cy="3758565"/>
            <wp:effectExtent l="0" t="0" r="635" b="5715"/>
            <wp:docPr id="5" name="图片 5" descr="66b701f64eeb5a9abb2ac3926c0f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b701f64eeb5a9abb2ac3926c0f6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/>
          <w:color w:val="auto"/>
          <w:kern w:val="0"/>
          <w:sz w:val="28"/>
          <w:szCs w:val="20"/>
          <w:lang w:val="en-US" w:eastAsia="zh-CN"/>
        </w:rPr>
        <w:drawing>
          <wp:inline distT="0" distB="0" distL="114300" distR="114300">
            <wp:extent cx="2537460" cy="4512310"/>
            <wp:effectExtent l="0" t="0" r="7620" b="13970"/>
            <wp:docPr id="8" name="图片 8" descr="c1a75697a98092bbd5c43ff71a08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1a75697a98092bbd5c43ff71a084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/>
          <w:color w:val="auto"/>
          <w:kern w:val="0"/>
          <w:sz w:val="28"/>
          <w:szCs w:val="20"/>
          <w:lang w:val="en-US" w:eastAsia="zh-CN"/>
        </w:rPr>
        <w:drawing>
          <wp:inline distT="0" distB="0" distL="114300" distR="114300">
            <wp:extent cx="2457450" cy="4369435"/>
            <wp:effectExtent l="0" t="0" r="11430" b="4445"/>
            <wp:docPr id="10" name="图片 10" descr="1770e859371e65a24def3baa1addf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70e859371e65a24def3baa1addf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/>
          <w:color w:val="auto"/>
          <w:kern w:val="0"/>
          <w:sz w:val="28"/>
          <w:szCs w:val="20"/>
          <w:lang w:val="en-US" w:eastAsia="zh-CN"/>
        </w:rPr>
        <w:drawing>
          <wp:inline distT="0" distB="0" distL="114300" distR="114300">
            <wp:extent cx="2504440" cy="4453255"/>
            <wp:effectExtent l="0" t="0" r="10160" b="12065"/>
            <wp:docPr id="11" name="图片 11" descr="28ab97eb5c894dad74803f9abebd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8ab97eb5c894dad74803f9abebd3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r>
        <w:rPr>
          <w:rFonts w:hint="default" w:ascii="宋体"/>
          <w:color w:val="auto"/>
          <w:kern w:val="0"/>
          <w:sz w:val="28"/>
          <w:szCs w:val="20"/>
          <w:lang w:val="en-US" w:eastAsia="zh-CN"/>
        </w:rPr>
        <w:drawing>
          <wp:inline distT="0" distB="0" distL="114300" distR="114300">
            <wp:extent cx="2839720" cy="3787140"/>
            <wp:effectExtent l="0" t="0" r="10160" b="7620"/>
            <wp:docPr id="6" name="图片 6" descr="0fefcd84616cabba91bb38603326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fefcd84616cabba91bb3860332677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491740" cy="4430395"/>
            <wp:effectExtent l="0" t="0" r="7620" b="4445"/>
            <wp:docPr id="12" name="图片 12" descr="c97f6b25efbcb42fa1fcb57b1496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97f6b25efbcb42fa1fcb57b14967a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WMwZmRjMzZlYzM2NWRiYjJmYjFkYTJjZWJiMTcifQ=="/>
  </w:docVars>
  <w:rsids>
    <w:rsidRoot w:val="35CC29B8"/>
    <w:rsid w:val="03CC63D7"/>
    <w:rsid w:val="04F76473"/>
    <w:rsid w:val="07A11E1A"/>
    <w:rsid w:val="09D5345C"/>
    <w:rsid w:val="0A1C5EDC"/>
    <w:rsid w:val="0A27015B"/>
    <w:rsid w:val="0A5D5908"/>
    <w:rsid w:val="0BD51C61"/>
    <w:rsid w:val="0EDC1223"/>
    <w:rsid w:val="12386C7D"/>
    <w:rsid w:val="13D12EE6"/>
    <w:rsid w:val="153C4810"/>
    <w:rsid w:val="165639E8"/>
    <w:rsid w:val="16BC1C2B"/>
    <w:rsid w:val="1C4A2E55"/>
    <w:rsid w:val="1DE92E23"/>
    <w:rsid w:val="1E1E483E"/>
    <w:rsid w:val="1FF73CD4"/>
    <w:rsid w:val="22CB7136"/>
    <w:rsid w:val="284F788D"/>
    <w:rsid w:val="2A9D36CA"/>
    <w:rsid w:val="2E5E68CC"/>
    <w:rsid w:val="2EC41433"/>
    <w:rsid w:val="2F917EEC"/>
    <w:rsid w:val="31297B3A"/>
    <w:rsid w:val="355F439E"/>
    <w:rsid w:val="35CC29B8"/>
    <w:rsid w:val="361E3E5D"/>
    <w:rsid w:val="37A6654A"/>
    <w:rsid w:val="38B36882"/>
    <w:rsid w:val="3BB85D78"/>
    <w:rsid w:val="3C176B62"/>
    <w:rsid w:val="420C1409"/>
    <w:rsid w:val="43CB4C37"/>
    <w:rsid w:val="44310792"/>
    <w:rsid w:val="460055C9"/>
    <w:rsid w:val="4706325F"/>
    <w:rsid w:val="47290367"/>
    <w:rsid w:val="48FE4AE5"/>
    <w:rsid w:val="4ECC7680"/>
    <w:rsid w:val="4F5D6EDB"/>
    <w:rsid w:val="537F016A"/>
    <w:rsid w:val="563D798B"/>
    <w:rsid w:val="567C6788"/>
    <w:rsid w:val="579A241E"/>
    <w:rsid w:val="58840D76"/>
    <w:rsid w:val="5C8B1D2D"/>
    <w:rsid w:val="5D511379"/>
    <w:rsid w:val="60FB542C"/>
    <w:rsid w:val="636808F8"/>
    <w:rsid w:val="64FD4259"/>
    <w:rsid w:val="6A640607"/>
    <w:rsid w:val="6AD40467"/>
    <w:rsid w:val="6B3179BA"/>
    <w:rsid w:val="6BF95CAB"/>
    <w:rsid w:val="6C4D48B3"/>
    <w:rsid w:val="6D0669CA"/>
    <w:rsid w:val="6FDF53A7"/>
    <w:rsid w:val="717A11AE"/>
    <w:rsid w:val="72FD2CFB"/>
    <w:rsid w:val="74AE7C8C"/>
    <w:rsid w:val="76511CAD"/>
    <w:rsid w:val="7772596D"/>
    <w:rsid w:val="788E5851"/>
    <w:rsid w:val="79FE469F"/>
    <w:rsid w:val="7AB02F22"/>
    <w:rsid w:val="7C286F07"/>
    <w:rsid w:val="7C9C2DAE"/>
    <w:rsid w:val="7DD1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line="560" w:lineRule="exact"/>
      <w:ind w:firstLine="200"/>
      <w:jc w:val="center"/>
      <w:outlineLvl w:val="1"/>
    </w:pPr>
    <w:rPr>
      <w:rFonts w:eastAsia="楷体_GB2312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qFormat/>
    <w:uiPriority w:val="99"/>
    <w:pPr>
      <w:ind w:firstLine="200" w:firstLineChars="200"/>
      <w:jc w:val="left"/>
    </w:pPr>
    <w:rPr>
      <w:sz w:val="28"/>
      <w:szCs w:val="20"/>
      <w:u w:color="000000"/>
    </w:rPr>
  </w:style>
  <w:style w:type="paragraph" w:styleId="5">
    <w:name w:val="Body Text"/>
    <w:basedOn w:val="1"/>
    <w:qFormat/>
    <w:uiPriority w:val="99"/>
    <w:pPr>
      <w:widowControl/>
      <w:spacing w:line="520" w:lineRule="exact"/>
      <w:ind w:firstLine="200" w:firstLineChars="200"/>
      <w:textAlignment w:val="baseline"/>
    </w:pPr>
    <w:rPr>
      <w:rFonts w:ascii="宋体" w:hAnsi="宋体"/>
      <w:color w:val="000000"/>
      <w:spacing w:val="10"/>
      <w:kern w:val="0"/>
      <w:sz w:val="24"/>
      <w:szCs w:val="24"/>
      <w:u w:color="000000"/>
    </w:rPr>
  </w:style>
  <w:style w:type="paragraph" w:styleId="6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111"/>
    <w:basedOn w:val="12"/>
    <w:qFormat/>
    <w:uiPriority w:val="0"/>
    <w:pPr>
      <w:widowControl/>
      <w:spacing w:beforeAutospacing="0" w:afterAutospacing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题目"/>
    <w:basedOn w:val="1"/>
    <w:qFormat/>
    <w:uiPriority w:val="0"/>
    <w:pPr>
      <w:jc w:val="center"/>
      <w:outlineLvl w:val="0"/>
    </w:pPr>
    <w:rPr>
      <w:rFonts w:ascii="黑体" w:hAnsi="黑体" w:eastAsia="黑体"/>
      <w:sz w:val="32"/>
      <w:szCs w:val="32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6评价正文"/>
    <w:qFormat/>
    <w:uiPriority w:val="0"/>
    <w:pPr>
      <w:spacing w:line="520" w:lineRule="exact"/>
      <w:ind w:firstLine="200" w:firstLineChars="200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6">
    <w:name w:val="1评价标题"/>
    <w:qFormat/>
    <w:uiPriority w:val="0"/>
    <w:pPr>
      <w:pageBreakBefore/>
      <w:spacing w:before="100" w:beforeLines="100" w:after="100" w:afterLines="100" w:line="520" w:lineRule="exact"/>
      <w:jc w:val="center"/>
      <w:outlineLvl w:val="0"/>
    </w:pPr>
    <w:rPr>
      <w:rFonts w:ascii="Times New Roman" w:hAnsi="Times New Roman" w:eastAsia="黑体" w:cs="Times New Roman"/>
      <w:kern w:val="2"/>
      <w:sz w:val="32"/>
      <w:szCs w:val="21"/>
      <w:lang w:val="en-US" w:eastAsia="zh-CN" w:bidi="ar-SA"/>
    </w:rPr>
  </w:style>
  <w:style w:type="paragraph" w:customStyle="1" w:styleId="17">
    <w:name w:val="5标题评价表格"/>
    <w:qFormat/>
    <w:uiPriority w:val="0"/>
    <w:pPr>
      <w:spacing w:line="520" w:lineRule="exact"/>
      <w:jc w:val="center"/>
      <w:outlineLvl w:val="4"/>
    </w:pPr>
    <w:rPr>
      <w:rFonts w:ascii="Times New Roman" w:hAnsi="Times New Roman" w:eastAsia="黑体" w:cs="Times New Roman"/>
      <w:kern w:val="2"/>
      <w:sz w:val="24"/>
      <w:szCs w:val="28"/>
      <w:u w:color="000000"/>
      <w:lang w:val="en-US" w:eastAsia="zh-CN" w:bidi="ar-SA"/>
    </w:rPr>
  </w:style>
  <w:style w:type="paragraph" w:customStyle="1" w:styleId="18">
    <w:name w:val="5内容评价表格"/>
    <w:qFormat/>
    <w:uiPriority w:val="0"/>
    <w:pPr>
      <w:spacing w:line="300" w:lineRule="exact"/>
      <w:jc w:val="center"/>
    </w:pPr>
    <w:rPr>
      <w:rFonts w:ascii="Times New Roman" w:hAnsi="Times New Roman" w:eastAsia="宋体" w:cs="Times New Roman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7评价备注"/>
    <w:qFormat/>
    <w:uiPriority w:val="0"/>
    <w:pPr>
      <w:spacing w:line="400" w:lineRule="exact"/>
      <w:ind w:firstLine="200" w:firstLineChars="200"/>
    </w:pPr>
    <w:rPr>
      <w:rFonts w:ascii="Times New Roman" w:hAnsi="Times New Roman" w:eastAsia="黑体" w:cs="Times New Roman"/>
      <w:spacing w:val="4"/>
      <w:kern w:val="2"/>
      <w:sz w:val="21"/>
      <w:szCs w:val="24"/>
      <w:lang w:val="en-US" w:eastAsia="zh-CN" w:bidi="ar-SA"/>
    </w:rPr>
  </w:style>
  <w:style w:type="paragraph" w:customStyle="1" w:styleId="20">
    <w:name w:val="3评价标题"/>
    <w:qFormat/>
    <w:uiPriority w:val="0"/>
    <w:pPr>
      <w:spacing w:line="520" w:lineRule="exact"/>
      <w:ind w:firstLine="200" w:firstLineChars="200"/>
      <w:outlineLvl w:val="2"/>
    </w:pPr>
    <w:rPr>
      <w:rFonts w:ascii="Times New Roman" w:hAnsi="Times New Roman" w:eastAsia="黑体" w:cs="Times New Roman"/>
      <w:sz w:val="28"/>
      <w:u w:color="000000"/>
      <w:lang w:val="en-US" w:eastAsia="zh-CN" w:bidi="ar-SA"/>
    </w:rPr>
  </w:style>
  <w:style w:type="paragraph" w:customStyle="1" w:styleId="21">
    <w:name w:val="表内文字"/>
    <w:basedOn w:val="6"/>
    <w:qFormat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1"/>
      <w:u w:color="000000"/>
    </w:rPr>
  </w:style>
  <w:style w:type="paragraph" w:customStyle="1" w:styleId="22">
    <w:name w:val="5表格内容"/>
    <w:basedOn w:val="23"/>
    <w:qFormat/>
    <w:uiPriority w:val="0"/>
    <w:pPr>
      <w:spacing w:beforeLines="0" w:line="300" w:lineRule="exact"/>
    </w:pPr>
    <w:rPr>
      <w:rFonts w:eastAsia="宋体"/>
      <w:color w:val="auto"/>
      <w:sz w:val="21"/>
      <w:szCs w:val="21"/>
    </w:rPr>
  </w:style>
  <w:style w:type="paragraph" w:customStyle="1" w:styleId="23">
    <w:name w:val="表名"/>
    <w:basedOn w:val="6"/>
    <w:qFormat/>
    <w:uiPriority w:val="0"/>
    <w:pPr>
      <w:spacing w:beforeLines="50" w:line="360" w:lineRule="exact"/>
      <w:jc w:val="center"/>
    </w:pPr>
    <w:rPr>
      <w:rFonts w:ascii="Times New Roman" w:hAnsi="Times New Roman" w:eastAsia="黑体"/>
      <w:color w:val="000000"/>
      <w:kern w:val="2"/>
      <w:sz w:val="24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1658</Words>
  <Characters>1901</Characters>
  <Lines>0</Lines>
  <Paragraphs>0</Paragraphs>
  <TotalTime>0</TotalTime>
  <ScaleCrop>false</ScaleCrop>
  <LinksUpToDate>false</LinksUpToDate>
  <CharactersWithSpaces>1908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2023-09-27T02:48:00Z</dcterms:created>
  <dc:creator>天舞</dc:creator>
  <cp:lastModifiedBy>adm</cp:lastModifiedBy>
  <dcterms:modified xsi:type="dcterms:W3CDTF">2025-06-11T03:59:26Z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158E41C4130D45F7BB2A42425FB8946B_11</vt:lpwstr>
  </property>
  <property fmtid="{D5CDD505-2E9C-101B-9397-08002B2CF9AE}" pid="4" name="KSOTemplateDocerSaveRecord">
    <vt:lpwstr>eyJoZGlkIjoiZjE3OTA5MjhjYzFkNzA1MTExN2Y4Y2VmYWI1OTZiZjUiLCJ1c2VySWQiOiI0NDUyNjk3NzEifQ==</vt:lpwstr>
  </property>
</Properties>
</file>