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中国石油天然气股份有限公司山东泰安销售分公司新泰迎宾路加油站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611CE970">
            <w:pPr>
              <w:adjustRightInd w:val="0"/>
              <w:snapToGrid w:val="0"/>
              <w:rPr>
                <w:rFonts w:hint="eastAsia" w:ascii="宋体" w:hAnsi="宋体"/>
                <w:sz w:val="20"/>
                <w:lang w:eastAsia="zh-CN"/>
              </w:rPr>
            </w:pPr>
            <w:r>
              <w:rPr>
                <w:rFonts w:hint="eastAsia" w:ascii="宋体" w:hAnsi="宋体"/>
                <w:sz w:val="20"/>
                <w:lang w:eastAsia="zh-CN"/>
              </w:rPr>
              <w:t>中国石油天然气股份有限公司山东泰安销售分公司新泰迎宾路加油站位于新泰市迎宾路中段，该站西侧是机械加工厂、架空电力线，北侧是双山路、架空电力线，东侧是新兴路，南侧是汽车销售中心、汽车服务中心。该站经营许可范围为汽油、乙醇汽油、柴油，现其主要储存经营汽油、乙醇汽油、柴油（0#与-10#换季销售）。此次现状评价报告与上次报告相比，该站卸油作业区新增人体静电释放仪，加油区新增2台可燃气体探测器，更换4台加油机（枪数、油品未发生改变），其余周边环境、站内设备设施、主要建构筑物均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油罐区、加油区等。站房在站区中部，加油区在站房东侧，现有5台双枪加油机：其中1台92#乙醇汽油双枪加油机、1台95#汽油双枪加油机、2台柴油双枪加油机、1台92#乙醇汽油/柴油双枪加油机（92#乙醇汽油停用），均为潜油泵式；油罐区布置在站房西侧，自北向南分别为：1台30m³95#汽油罐、1台30m³92#乙醇汽油罐、3台30m³柴油罐，汽油、柴油卸油口均位于罐区东侧，罐区西侧共有通气管6根（含油气回收装置通气管）；按《汽车加油加气加氢站技术标准》GB50156-2021标准规定：V=60+90/2=105m3，该站属二级加油站；该站汽油设有卸油油气回收系统、加油油气回收系统及油气回收装置（三次油气回收系统）</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2025.04.26</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04.28</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0244F1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60F636E8">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F73730E">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2025.05.06</w:t>
            </w:r>
          </w:p>
        </w:tc>
        <w:tc>
          <w:tcPr>
            <w:tcW w:w="2350" w:type="dxa"/>
            <w:tcBorders>
              <w:tl2br w:val="nil"/>
              <w:tr2bl w:val="nil"/>
            </w:tcBorders>
            <w:shd w:val="clear" w:color="auto" w:fill="auto"/>
            <w:noWrap/>
            <w:vAlign w:val="center"/>
          </w:tcPr>
          <w:p w14:paraId="765B37FB">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408BA79A">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现场核查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05.10</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4"/>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52465" cy="8172450"/>
            <wp:effectExtent l="0" t="0" r="635" b="0"/>
            <wp:docPr id="3" name="图片 3" descr="扫描全能王 ⁨2025-6-20 17.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6-20 17.04⁩_1"/>
                    <pic:cNvPicPr>
                      <a:picLocks noChangeAspect="1"/>
                    </pic:cNvPicPr>
                  </pic:nvPicPr>
                  <pic:blipFill>
                    <a:blip r:embed="rId4"/>
                    <a:stretch>
                      <a:fillRect/>
                    </a:stretch>
                  </pic:blipFill>
                  <pic:spPr>
                    <a:xfrm>
                      <a:off x="0" y="0"/>
                      <a:ext cx="5752465" cy="8172450"/>
                    </a:xfrm>
                    <a:prstGeom prst="rect">
                      <a:avLst/>
                    </a:prstGeom>
                  </pic:spPr>
                </pic:pic>
              </a:graphicData>
            </a:graphic>
          </wp:inline>
        </w:drawing>
      </w:r>
      <w:r>
        <w:rPr>
          <w:rFonts w:hint="eastAsia" w:eastAsia="宋体" w:cs="宋体"/>
          <w:color w:val="auto"/>
          <w:lang w:eastAsia="zh-CN"/>
        </w:rPr>
        <w:drawing>
          <wp:inline distT="0" distB="0" distL="114300" distR="114300">
            <wp:extent cx="5751830" cy="8361680"/>
            <wp:effectExtent l="0" t="0" r="1270" b="1270"/>
            <wp:docPr id="2" name="图片 2" descr="扫描全能王 ⁨2025-6-20 17.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6-20 17.04⁩_2"/>
                    <pic:cNvPicPr>
                      <a:picLocks noChangeAspect="1"/>
                    </pic:cNvPicPr>
                  </pic:nvPicPr>
                  <pic:blipFill>
                    <a:blip r:embed="rId5"/>
                    <a:stretch>
                      <a:fillRect/>
                    </a:stretch>
                  </pic:blipFill>
                  <pic:spPr>
                    <a:xfrm>
                      <a:off x="0" y="0"/>
                      <a:ext cx="5751830" cy="8361680"/>
                    </a:xfrm>
                    <a:prstGeom prst="rect">
                      <a:avLst/>
                    </a:prstGeom>
                  </pic:spPr>
                </pic:pic>
              </a:graphicData>
            </a:graphic>
          </wp:inline>
        </w:drawing>
      </w:r>
      <w:r>
        <w:rPr>
          <w:rFonts w:hint="eastAsia" w:eastAsia="宋体" w:cs="宋体"/>
          <w:color w:val="auto"/>
          <w:lang w:eastAsia="zh-CN"/>
        </w:rPr>
        <w:drawing>
          <wp:inline distT="0" distB="0" distL="114300" distR="114300">
            <wp:extent cx="5742940" cy="8392795"/>
            <wp:effectExtent l="0" t="0" r="10160" b="8255"/>
            <wp:docPr id="1" name="图片 1" descr="扫描全能王 ⁨2025-6-20 17.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6-20 17.04⁩_3"/>
                    <pic:cNvPicPr>
                      <a:picLocks noChangeAspect="1"/>
                    </pic:cNvPicPr>
                  </pic:nvPicPr>
                  <pic:blipFill>
                    <a:blip r:embed="rId6"/>
                    <a:stretch>
                      <a:fillRect/>
                    </a:stretch>
                  </pic:blipFill>
                  <pic:spPr>
                    <a:xfrm>
                      <a:off x="0" y="0"/>
                      <a:ext cx="5742940" cy="839279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中国石油天然气股份有限公司山东泰安销售分公司新泰迎宾路加油站</w:t>
      </w:r>
      <w:r>
        <w:rPr>
          <w:rFonts w:hint="eastAsia" w:ascii="宋体" w:hAnsi="宋体" w:eastAsia="宋体" w:cs="宋体"/>
          <w:kern w:val="0"/>
          <w:sz w:val="24"/>
        </w:rPr>
        <w:t>安全现状评价现场照片</w:t>
      </w:r>
    </w:p>
    <w:p w14:paraId="378CA0D8">
      <w:pPr>
        <w:pStyle w:val="4"/>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594350" cy="4196080"/>
            <wp:effectExtent l="0" t="0" r="6350" b="13970"/>
            <wp:docPr id="5" name="图片 5" descr="IMG_20250428_1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428_100647"/>
                    <pic:cNvPicPr>
                      <a:picLocks noChangeAspect="1"/>
                    </pic:cNvPicPr>
                  </pic:nvPicPr>
                  <pic:blipFill>
                    <a:blip r:embed="rId7"/>
                    <a:stretch>
                      <a:fillRect/>
                    </a:stretch>
                  </pic:blipFill>
                  <pic:spPr>
                    <a:xfrm>
                      <a:off x="0" y="0"/>
                      <a:ext cx="5594350" cy="4196080"/>
                    </a:xfrm>
                    <a:prstGeom prst="rect">
                      <a:avLst/>
                    </a:prstGeom>
                  </pic:spPr>
                </pic:pic>
              </a:graphicData>
            </a:graphic>
          </wp:inline>
        </w:drawing>
      </w:r>
      <w:r>
        <w:rPr>
          <w:rFonts w:hint="eastAsia" w:eastAsiaTheme="minorEastAsia"/>
          <w:lang w:eastAsia="zh-CN"/>
        </w:rPr>
        <w:drawing>
          <wp:inline distT="0" distB="0" distL="114300" distR="114300">
            <wp:extent cx="5585460" cy="4189730"/>
            <wp:effectExtent l="0" t="0" r="15240" b="1270"/>
            <wp:docPr id="4" name="图片 4" descr="IMG_20250428_1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428_100711"/>
                    <pic:cNvPicPr>
                      <a:picLocks noChangeAspect="1"/>
                    </pic:cNvPicPr>
                  </pic:nvPicPr>
                  <pic:blipFill>
                    <a:blip r:embed="rId8"/>
                    <a:stretch>
                      <a:fillRect/>
                    </a:stretch>
                  </pic:blipFill>
                  <pic:spPr>
                    <a:xfrm>
                      <a:off x="0" y="0"/>
                      <a:ext cx="5585460" cy="4189730"/>
                    </a:xfrm>
                    <a:prstGeom prst="rect">
                      <a:avLst/>
                    </a:prstGeom>
                  </pic:spPr>
                </pic:pic>
              </a:graphicData>
            </a:graphic>
          </wp:inline>
        </w:drawing>
      </w:r>
    </w:p>
    <w:p w14:paraId="3CBAF212">
      <w:pPr>
        <w:pStyle w:val="16"/>
        <w:widowControl w:val="0"/>
        <w:adjustRightInd w:val="0"/>
        <w:snapToGrid w:val="0"/>
        <w:spacing w:before="468" w:beforeLines="150" w:after="156" w:afterLines="50" w:line="360" w:lineRule="auto"/>
      </w:pPr>
      <w:r>
        <w:t>第二章 加油站概况</w:t>
      </w:r>
    </w:p>
    <w:p w14:paraId="525BD094">
      <w:pPr>
        <w:adjustRightInd w:val="0"/>
        <w:snapToGrid w:val="0"/>
        <w:spacing w:line="360" w:lineRule="auto"/>
        <w:jc w:val="center"/>
        <w:outlineLvl w:val="1"/>
        <w:rPr>
          <w:rFonts w:ascii="Calibri" w:hAnsi="Calibri" w:eastAsia="楷体_GB2312"/>
          <w:b/>
          <w:kern w:val="0"/>
          <w:sz w:val="32"/>
          <w:szCs w:val="20"/>
        </w:rPr>
      </w:pPr>
      <w:bookmarkStart w:id="0" w:name="_Toc30066"/>
      <w:bookmarkStart w:id="1" w:name="_Toc272364524"/>
      <w:bookmarkStart w:id="2" w:name="_Toc15033743"/>
      <w:bookmarkStart w:id="3" w:name="_Toc102633896"/>
      <w:bookmarkStart w:id="4" w:name="_Toc102634227"/>
      <w:bookmarkStart w:id="5" w:name="_Toc102633970"/>
      <w:bookmarkStart w:id="6" w:name="_Toc208733856"/>
      <w:bookmarkStart w:id="7" w:name="_Toc102634396"/>
      <w:bookmarkStart w:id="8" w:name="_Toc26504"/>
      <w:r>
        <w:rPr>
          <w:rFonts w:ascii="Calibri" w:hAnsi="Calibri" w:eastAsia="楷体_GB2312"/>
          <w:b/>
          <w:kern w:val="0"/>
          <w:sz w:val="32"/>
          <w:szCs w:val="20"/>
        </w:rPr>
        <w:t>第一节 加油站基本情况</w:t>
      </w:r>
      <w:bookmarkEnd w:id="0"/>
      <w:bookmarkEnd w:id="1"/>
      <w:bookmarkEnd w:id="2"/>
      <w:bookmarkEnd w:id="3"/>
      <w:bookmarkEnd w:id="4"/>
      <w:bookmarkEnd w:id="5"/>
      <w:bookmarkEnd w:id="6"/>
      <w:bookmarkEnd w:id="7"/>
      <w:bookmarkEnd w:id="8"/>
    </w:p>
    <w:p w14:paraId="068BF4E6">
      <w:pPr>
        <w:pStyle w:val="15"/>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 w:val="28"/>
          <w:szCs w:val="28"/>
          <w:lang w:eastAsia="zh-CN"/>
        </w:rPr>
        <w:t>中国石油天然气股份有限公司山东泰安销售分公司新泰迎宾路加油站</w:t>
      </w:r>
      <w:r>
        <w:rPr>
          <w:rFonts w:hint="eastAsia" w:ascii="宋体" w:hAnsi="宋体"/>
          <w:sz w:val="28"/>
          <w:szCs w:val="28"/>
        </w:rPr>
        <w:t>位于</w:t>
      </w:r>
      <w:r>
        <w:rPr>
          <w:rFonts w:hint="eastAsia" w:ascii="宋体" w:hAnsi="宋体"/>
          <w:sz w:val="28"/>
          <w:szCs w:val="28"/>
          <w:lang w:eastAsia="zh-CN"/>
        </w:rPr>
        <w:t>新泰市迎宾路中段</w:t>
      </w:r>
      <w:r>
        <w:rPr>
          <w:rFonts w:hint="eastAsia" w:ascii="宋体" w:hAnsi="宋体" w:cs="宋体"/>
          <w:sz w:val="28"/>
        </w:rPr>
        <w:t>，</w:t>
      </w:r>
      <w:r>
        <w:rPr>
          <w:rFonts w:hint="eastAsia" w:ascii="宋体" w:hAnsi="宋体" w:cs="宋体"/>
          <w:sz w:val="28"/>
          <w:lang w:val="en-US" w:eastAsia="zh-CN"/>
        </w:rPr>
        <w:t>该站</w:t>
      </w:r>
      <w:r>
        <w:rPr>
          <w:rFonts w:hint="eastAsia" w:ascii="宋体" w:hAnsi="宋体" w:cs="宋体"/>
          <w:sz w:val="28"/>
          <w:szCs w:val="28"/>
          <w:lang w:eastAsia="zh-CN"/>
        </w:rPr>
        <w:t>西侧是机械加工厂、架空电力线，北侧是双山路、架空电力线，东侧是新兴路，南侧是汽车销售中心、汽车服务中心</w:t>
      </w:r>
      <w:r>
        <w:rPr>
          <w:rFonts w:hint="eastAsia" w:ascii="宋体" w:hAnsi="宋体"/>
          <w:szCs w:val="28"/>
          <w:lang w:eastAsia="zh-CN"/>
        </w:rPr>
        <w:t>。该站经营许可范围为汽油、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w:t>
      </w:r>
      <w:r>
        <w:rPr>
          <w:rFonts w:hint="eastAsia" w:ascii="宋体" w:hAnsi="宋体"/>
          <w:szCs w:val="28"/>
          <w:lang w:val="en-US" w:eastAsia="zh-CN"/>
        </w:rPr>
        <w:t>乙醇汽油、</w:t>
      </w:r>
      <w:r>
        <w:rPr>
          <w:rFonts w:hint="eastAsia" w:ascii="宋体" w:hAnsi="宋体"/>
          <w:szCs w:val="28"/>
          <w:lang w:eastAsia="zh-CN"/>
        </w:rPr>
        <w:t>柴油（0#与-10#换季销售）</w:t>
      </w:r>
      <w:r>
        <w:rPr>
          <w:rFonts w:hint="eastAsia" w:ascii="宋体" w:hAnsi="宋体"/>
          <w:szCs w:val="28"/>
        </w:rPr>
        <w:t>。</w:t>
      </w:r>
      <w:r>
        <w:rPr>
          <w:rFonts w:hint="eastAsia" w:ascii="宋体" w:hAnsi="宋体"/>
          <w:szCs w:val="28"/>
          <w:lang w:val="en-US" w:eastAsia="zh-CN"/>
        </w:rPr>
        <w:t>此次现状评价报告与上次报告相比，该站卸油作业区新增人体静电释放仪，加油区新增2台可燃气体探测器，更换4台加油机（枪数、油品未发生改变），其余周边环境、站内设备设施、主要建构筑物均未发生变化。</w:t>
      </w:r>
    </w:p>
    <w:p w14:paraId="25C1B0FB">
      <w:pPr>
        <w:pStyle w:val="15"/>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站区中部</w:t>
      </w:r>
      <w:r>
        <w:rPr>
          <w:rFonts w:hint="eastAsia" w:ascii="宋体" w:hAnsi="宋体"/>
          <w:szCs w:val="28"/>
        </w:rPr>
        <w:t>，加油区在</w:t>
      </w:r>
      <w:r>
        <w:rPr>
          <w:rFonts w:hint="eastAsia" w:ascii="宋体" w:hAnsi="宋体"/>
          <w:szCs w:val="28"/>
          <w:lang w:val="en-US" w:eastAsia="zh-CN"/>
        </w:rPr>
        <w:t>站房东</w:t>
      </w:r>
      <w:r>
        <w:rPr>
          <w:rFonts w:hint="eastAsia" w:ascii="宋体" w:hAnsi="宋体"/>
          <w:szCs w:val="28"/>
        </w:rPr>
        <w:t>侧，现有</w:t>
      </w:r>
      <w:r>
        <w:rPr>
          <w:rFonts w:hint="eastAsia" w:ascii="宋体" w:hAnsi="宋体"/>
          <w:szCs w:val="28"/>
          <w:lang w:val="en-US" w:eastAsia="zh-CN"/>
        </w:rPr>
        <w:t>5台双枪加油机：其中1台92#乙醇汽油双枪加油机、1台95#汽油双枪加油机、2台柴油双枪加油机、1台92#乙醇汽油/柴油双枪加油机（92#乙醇汽油停用），均为潜油泵式</w:t>
      </w:r>
      <w:r>
        <w:rPr>
          <w:rFonts w:hint="eastAsia" w:ascii="宋体" w:hAnsi="宋体"/>
          <w:szCs w:val="28"/>
        </w:rPr>
        <w:t>；</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站房西</w:t>
      </w:r>
      <w:r>
        <w:rPr>
          <w:rFonts w:hint="eastAsia" w:ascii="宋体" w:hAnsi="宋体"/>
          <w:szCs w:val="28"/>
        </w:rPr>
        <w:t>侧，自</w:t>
      </w:r>
      <w:r>
        <w:rPr>
          <w:rFonts w:hint="eastAsia" w:ascii="宋体" w:hAnsi="宋体"/>
          <w:szCs w:val="28"/>
          <w:lang w:val="en-US" w:eastAsia="zh-CN"/>
        </w:rPr>
        <w:t>北</w:t>
      </w:r>
      <w:r>
        <w:rPr>
          <w:rFonts w:hint="eastAsia" w:ascii="宋体" w:hAnsi="宋体"/>
          <w:szCs w:val="28"/>
        </w:rPr>
        <w:t>向</w:t>
      </w:r>
      <w:r>
        <w:rPr>
          <w:rFonts w:hint="eastAsia" w:ascii="宋体" w:hAnsi="宋体"/>
          <w:szCs w:val="28"/>
          <w:lang w:val="en-US" w:eastAsia="zh-CN"/>
        </w:rPr>
        <w:t>南</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3台30m³柴油罐</w:t>
      </w:r>
      <w:r>
        <w:rPr>
          <w:rFonts w:hint="eastAsia" w:ascii="宋体" w:hAnsi="宋体"/>
          <w:szCs w:val="28"/>
          <w:lang w:eastAsia="zh-CN"/>
        </w:rPr>
        <w:t>，</w:t>
      </w:r>
      <w:r>
        <w:rPr>
          <w:rFonts w:hint="eastAsia" w:ascii="宋体" w:hAnsi="宋体"/>
          <w:szCs w:val="28"/>
        </w:rPr>
        <w:t>汽油、柴油卸油口均</w:t>
      </w:r>
      <w:r>
        <w:rPr>
          <w:rFonts w:hint="eastAsia" w:ascii="宋体" w:hAnsi="宋体"/>
          <w:szCs w:val="28"/>
          <w:lang w:val="en-US" w:eastAsia="zh-CN"/>
        </w:rPr>
        <w:t>位于罐区东侧，罐区西侧</w:t>
      </w:r>
      <w:r>
        <w:rPr>
          <w:rFonts w:hint="eastAsia" w:ascii="宋体" w:hAnsi="宋体"/>
          <w:szCs w:val="28"/>
        </w:rPr>
        <w:t>共有通气管</w:t>
      </w:r>
      <w:r>
        <w:rPr>
          <w:rFonts w:hint="eastAsia" w:ascii="宋体" w:hAnsi="宋体"/>
          <w:szCs w:val="28"/>
          <w:lang w:val="en-US" w:eastAsia="zh-CN"/>
        </w:rPr>
        <w:t>6</w:t>
      </w:r>
      <w:r>
        <w:rPr>
          <w:rFonts w:hint="eastAsia" w:ascii="宋体" w:hAnsi="宋体"/>
          <w:szCs w:val="28"/>
        </w:rPr>
        <w:t>根（</w:t>
      </w:r>
      <w:r>
        <w:rPr>
          <w:rFonts w:hint="eastAsia" w:ascii="宋体" w:hAnsi="宋体"/>
          <w:szCs w:val="28"/>
          <w:lang w:val="en-US" w:eastAsia="zh-CN"/>
        </w:rPr>
        <w:t>含</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60</w:t>
      </w:r>
      <w:r>
        <w:rPr>
          <w:rFonts w:hint="eastAsia" w:ascii="宋体" w:hAnsi="宋体"/>
          <w:szCs w:val="28"/>
        </w:rPr>
        <w:t>+</w:t>
      </w:r>
      <w:r>
        <w:rPr>
          <w:rFonts w:hint="eastAsia" w:ascii="宋体" w:hAnsi="宋体"/>
          <w:szCs w:val="28"/>
          <w:lang w:val="en-US" w:eastAsia="zh-CN"/>
        </w:rPr>
        <w:t>90</w:t>
      </w:r>
      <w:r>
        <w:rPr>
          <w:rFonts w:hint="eastAsia" w:ascii="宋体" w:hAnsi="宋体"/>
          <w:szCs w:val="28"/>
        </w:rPr>
        <w:t>/2=</w:t>
      </w:r>
      <w:r>
        <w:rPr>
          <w:rFonts w:hint="eastAsia" w:ascii="宋体" w:hAnsi="宋体"/>
          <w:szCs w:val="28"/>
          <w:lang w:val="en-US" w:eastAsia="zh-CN"/>
        </w:rPr>
        <w:t>105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二级</w:t>
      </w:r>
      <w:r>
        <w:rPr>
          <w:rFonts w:hint="eastAsia" w:ascii="宋体" w:hAnsi="宋体"/>
          <w:szCs w:val="28"/>
        </w:rPr>
        <w:t>加油站；该站汽油设有卸油油气回收系统、加油油气回收系统及油气</w:t>
      </w:r>
      <w:r>
        <w:rPr>
          <w:rFonts w:hint="eastAsia" w:ascii="宋体" w:hAnsi="宋体"/>
          <w:szCs w:val="28"/>
          <w:lang w:val="en-US" w:eastAsia="zh-CN"/>
        </w:rPr>
        <w:t>回收</w:t>
      </w:r>
      <w:r>
        <w:rPr>
          <w:rFonts w:hint="eastAsia" w:ascii="宋体" w:hAnsi="宋体"/>
          <w:szCs w:val="28"/>
        </w:rPr>
        <w:t>装置（三次油气回收系统）</w:t>
      </w:r>
      <w:r>
        <w:rPr>
          <w:rFonts w:hint="eastAsia" w:ascii="宋体"/>
        </w:rPr>
        <w:t>。</w:t>
      </w:r>
    </w:p>
    <w:p w14:paraId="463C46BB">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191A1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CDDBA52">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49012D99">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4C210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5661892">
            <w:pPr>
              <w:pStyle w:val="18"/>
              <w:keepLines w:val="0"/>
              <w:widowControl w:val="0"/>
              <w:overflowPunct/>
              <w:bidi w:val="0"/>
              <w:adjustRightInd w:val="0"/>
              <w:snapToGrid w:val="0"/>
              <w:spacing w:line="360" w:lineRule="auto"/>
              <w:rPr>
                <w:rFonts w:ascii="宋体" w:hAnsi="宋体"/>
                <w:b/>
                <w:bCs/>
              </w:rPr>
            </w:pPr>
          </w:p>
        </w:tc>
        <w:tc>
          <w:tcPr>
            <w:tcW w:w="1667" w:type="pct"/>
            <w:vAlign w:val="center"/>
          </w:tcPr>
          <w:p w14:paraId="4BB07C23">
            <w:pPr>
              <w:pStyle w:val="18"/>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76FF9958">
            <w:pPr>
              <w:pStyle w:val="18"/>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1FACD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B0C1C0A">
            <w:pPr>
              <w:pStyle w:val="18"/>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02D5D72D">
            <w:pPr>
              <w:pStyle w:val="18"/>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0707A678">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7EDF7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7299A79">
            <w:pPr>
              <w:pStyle w:val="18"/>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2B1B5581">
            <w:pPr>
              <w:pStyle w:val="18"/>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48D579EE">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1F59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B50E14E">
            <w:pPr>
              <w:pStyle w:val="18"/>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30835301">
            <w:pPr>
              <w:pStyle w:val="18"/>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7AC40E21">
            <w:pPr>
              <w:pStyle w:val="18"/>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7A756B46">
      <w:pPr>
        <w:pStyle w:val="19"/>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49058BCD">
      <w:pPr>
        <w:pStyle w:val="15"/>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4</w:t>
      </w:r>
      <w:r>
        <w:rPr>
          <w:rFonts w:hint="eastAsia" w:ascii="宋体"/>
        </w:rPr>
        <w:t>人，其中主要负责人1人，安全生产管理人员1人。主要负责人已参加了危险化学品安全管理培训，并取得考核合格证</w:t>
      </w:r>
      <w:r>
        <w:rPr>
          <w:rFonts w:hint="eastAsia" w:ascii="宋体"/>
          <w:lang w:eastAsia="zh-CN"/>
        </w:rPr>
        <w:t>；</w:t>
      </w:r>
      <w:r>
        <w:rPr>
          <w:rFonts w:hint="eastAsia" w:ascii="宋体"/>
          <w:lang w:val="en-US" w:eastAsia="zh-CN"/>
        </w:rPr>
        <w:t>安全生产管理人员于2025年04月17日被任命，已报名参加培训并承诺6个月之内取证</w:t>
      </w:r>
      <w:r>
        <w:rPr>
          <w:rFonts w:hint="eastAsia" w:ascii="宋体"/>
          <w:lang w:eastAsia="zh-CN"/>
        </w:rPr>
        <w:t>。</w:t>
      </w:r>
      <w:r>
        <w:rPr>
          <w:rFonts w:hint="eastAsia" w:ascii="宋体"/>
        </w:rPr>
        <w:t>详见附件。</w:t>
      </w:r>
    </w:p>
    <w:p w14:paraId="1314FF51">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2001</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19</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新泰</w:t>
      </w:r>
      <w:r>
        <w:rPr>
          <w:rFonts w:hint="eastAsia" w:ascii="宋体"/>
          <w:color w:val="000000" w:themeColor="text1"/>
          <w14:textFill>
            <w14:solidFill>
              <w14:schemeClr w14:val="tx1"/>
            </w14:solidFill>
          </w14:textFill>
        </w:rPr>
        <w:t>市公安消防</w:t>
      </w:r>
      <w:r>
        <w:rPr>
          <w:rFonts w:hint="eastAsia" w:ascii="宋体"/>
          <w:color w:val="000000" w:themeColor="text1"/>
          <w:lang w:val="en-US" w:eastAsia="zh-CN"/>
          <w14:textFill>
            <w14:solidFill>
              <w14:schemeClr w14:val="tx1"/>
            </w14:solidFill>
          </w14:textFill>
        </w:rPr>
        <w:t>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消防安全许可证</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监</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危储字032</w:t>
      </w:r>
      <w:r>
        <w:rPr>
          <w:rFonts w:hint="eastAsia" w:ascii="宋体"/>
          <w:color w:val="000000" w:themeColor="text1"/>
          <w14:textFill>
            <w14:solidFill>
              <w14:schemeClr w14:val="tx1"/>
            </w14:solidFill>
          </w14:textFill>
        </w:rPr>
        <w:t>号</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。详见附件。</w:t>
      </w:r>
    </w:p>
    <w:p w14:paraId="079B747A">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2003年01月20日，该站取得了国有土地使用证，编号：新国用（2003）字第0015号，终止日期为2042年10月19日</w:t>
      </w:r>
      <w:r>
        <w:rPr>
          <w:rFonts w:hint="eastAsia" w:ascii="宋体"/>
          <w:color w:val="000000" w:themeColor="text1"/>
          <w14:textFill>
            <w14:solidFill>
              <w14:schemeClr w14:val="tx1"/>
            </w14:solidFill>
          </w14:textFill>
        </w:rPr>
        <w:t>，详见附件。</w:t>
      </w:r>
    </w:p>
    <w:p w14:paraId="34F8FB8D">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了《成品油零售经营批准证书》，证书编号：鲁油零售证书第37090</w:t>
      </w:r>
      <w:r>
        <w:rPr>
          <w:rFonts w:hint="eastAsia" w:ascii="宋体"/>
          <w:color w:val="000000" w:themeColor="text1"/>
          <w:lang w:val="en-US" w:eastAsia="zh-CN"/>
          <w14:textFill>
            <w14:solidFill>
              <w14:schemeClr w14:val="tx1"/>
            </w14:solidFill>
          </w14:textFill>
        </w:rPr>
        <w:t>22007</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7</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日，证书见附件。</w:t>
      </w:r>
    </w:p>
    <w:p w14:paraId="3D5B8A20">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了《危险化学品经营许可证》，证书编号：鲁泰危化经[202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000388</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14</w:t>
      </w:r>
      <w:r>
        <w:rPr>
          <w:rFonts w:hint="eastAsia" w:ascii="宋体"/>
          <w:color w:val="000000" w:themeColor="text1"/>
          <w14:textFill>
            <w14:solidFill>
              <w14:schemeClr w14:val="tx1"/>
            </w14:solidFill>
          </w14:textFill>
        </w:rPr>
        <w:t>日，证书见附件。</w:t>
      </w:r>
    </w:p>
    <w:p w14:paraId="0C6F4EA2">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在</w:t>
      </w:r>
      <w:r>
        <w:rPr>
          <w:rFonts w:hint="eastAsia" w:ascii="宋体"/>
          <w:color w:val="000000" w:themeColor="text1"/>
          <w:lang w:val="en-US" w:eastAsia="zh-CN"/>
          <w14:textFill>
            <w14:solidFill>
              <w14:schemeClr w14:val="tx1"/>
            </w14:solidFill>
          </w14:textFill>
        </w:rPr>
        <w:t>中国太平洋</w:t>
      </w:r>
      <w:r>
        <w:rPr>
          <w:rFonts w:hint="eastAsia" w:ascii="宋体"/>
          <w:color w:val="000000" w:themeColor="text1"/>
          <w14:textFill>
            <w14:solidFill>
              <w14:schemeClr w14:val="tx1"/>
            </w14:solidFill>
          </w14:textFill>
        </w:rPr>
        <w:t>财产保险</w:t>
      </w:r>
      <w:r>
        <w:rPr>
          <w:rFonts w:hint="eastAsia" w:ascii="宋体"/>
          <w:color w:val="000000" w:themeColor="text1"/>
          <w:lang w:val="en-US" w:eastAsia="zh-CN"/>
          <w14:textFill>
            <w14:solidFill>
              <w14:schemeClr w14:val="tx1"/>
            </w14:solidFill>
          </w14:textFill>
        </w:rPr>
        <w:t>股份</w:t>
      </w:r>
      <w:r>
        <w:rPr>
          <w:rFonts w:hint="eastAsia" w:ascii="宋体"/>
          <w:color w:val="000000" w:themeColor="text1"/>
          <w14:textFill>
            <w14:solidFill>
              <w14:schemeClr w14:val="tx1"/>
            </w14:solidFill>
          </w14:textFill>
        </w:rPr>
        <w:t>有限公司投保了安全生产责任保险，保险期限为202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零时</w:t>
      </w:r>
      <w:r>
        <w:rPr>
          <w:rFonts w:hint="eastAsia" w:ascii="宋体"/>
          <w:color w:val="000000" w:themeColor="text1"/>
          <w14:textFill>
            <w14:solidFill>
              <w14:schemeClr w14:val="tx1"/>
            </w14:solidFill>
          </w14:textFill>
        </w:rPr>
        <w:t>至2025年</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二十四时</w:t>
      </w:r>
      <w:r>
        <w:rPr>
          <w:rFonts w:hint="eastAsia" w:ascii="宋体"/>
          <w:color w:val="000000" w:themeColor="text1"/>
          <w14:textFill>
            <w14:solidFill>
              <w14:schemeClr w14:val="tx1"/>
            </w14:solidFill>
          </w14:textFill>
        </w:rPr>
        <w:t>，详见附件。</w:t>
      </w:r>
    </w:p>
    <w:p w14:paraId="68ED419C">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07</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lang w:eastAsia="zh-CN"/>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lang w:eastAsia="zh-CN"/>
          <w14:textFill>
            <w14:solidFill>
              <w14:schemeClr w14:val="tx1"/>
            </w14:solidFill>
          </w14:textFill>
        </w:rPr>
        <w:t>-0</w:t>
      </w:r>
      <w:r>
        <w:rPr>
          <w:rFonts w:hint="eastAsia" w:ascii="宋体"/>
          <w:color w:val="000000" w:themeColor="text1"/>
          <w:lang w:val="en-US" w:eastAsia="zh-CN"/>
          <w14:textFill>
            <w14:solidFill>
              <w14:schemeClr w14:val="tx1"/>
            </w14:solidFill>
          </w14:textFill>
        </w:rPr>
        <w:t>020</w:t>
      </w:r>
      <w:r>
        <w:rPr>
          <w:rFonts w:hint="eastAsia" w:ascii="宋体"/>
          <w:color w:val="000000" w:themeColor="text1"/>
          <w14:textFill>
            <w14:solidFill>
              <w14:schemeClr w14:val="tx1"/>
            </w14:solidFill>
          </w14:textFill>
        </w:rPr>
        <w:t>，详见附件。</w:t>
      </w:r>
    </w:p>
    <w:p w14:paraId="52A74115">
      <w:pPr>
        <w:pStyle w:val="15"/>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19</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D-TAXT0103</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加油站雷电防护</w:t>
      </w:r>
      <w:r>
        <w:rPr>
          <w:rFonts w:hint="eastAsia" w:ascii="宋体"/>
          <w:color w:val="000000" w:themeColor="text1"/>
          <w14:textFill>
            <w14:solidFill>
              <w14:schemeClr w14:val="tx1"/>
            </w14:solidFill>
          </w14:textFill>
        </w:rPr>
        <w:t>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27</w:t>
      </w:r>
      <w:r>
        <w:rPr>
          <w:rFonts w:hint="eastAsia" w:ascii="宋体"/>
          <w:color w:val="000000" w:themeColor="text1"/>
          <w14:textFill>
            <w14:solidFill>
              <w14:schemeClr w14:val="tx1"/>
            </w14:solidFill>
          </w14:textFill>
        </w:rPr>
        <w:t>日，检测报告见附件。</w:t>
      </w:r>
    </w:p>
    <w:p w14:paraId="16E5A4BD">
      <w:pPr>
        <w:pStyle w:val="15"/>
        <w:keepLines w:val="0"/>
        <w:widowControl w:val="0"/>
        <w:overflowPunct/>
        <w:bidi w:val="0"/>
        <w:adjustRightInd w:val="0"/>
        <w:snapToGrid w:val="0"/>
        <w:spacing w:line="360" w:lineRule="auto"/>
        <w:ind w:firstLine="560"/>
        <w:rPr>
          <w:rFonts w:hint="default" w:ascii="宋体" w:eastAsia="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2025年01月，哈尔滨东方报警设备开发有限公司为该站的2台可燃气体探测器及1台报警控制器出具了检验报告，检验结论为合格。详见附件。</w:t>
      </w:r>
    </w:p>
    <w:p w14:paraId="1B003BF6">
      <w:pPr>
        <w:pStyle w:val="15"/>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8998631">
      <w:pPr>
        <w:pStyle w:val="15"/>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3</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12</w:t>
      </w:r>
      <w:r>
        <w:rPr>
          <w:rFonts w:hint="eastAsia" w:ascii="宋体"/>
        </w:rPr>
        <w:t>具，</w:t>
      </w:r>
      <w:r>
        <w:rPr>
          <w:rFonts w:hint="eastAsia" w:ascii="宋体"/>
          <w:lang w:val="en-US" w:eastAsia="zh-CN"/>
        </w:rPr>
        <w:t>4</w:t>
      </w:r>
      <w:r>
        <w:rPr>
          <w:rFonts w:hint="eastAsia" w:ascii="宋体"/>
        </w:rPr>
        <w:t>kg手提式干粉灭火器</w:t>
      </w:r>
      <w:r>
        <w:rPr>
          <w:rFonts w:hint="eastAsia" w:ascii="宋体"/>
          <w:lang w:val="en-US" w:eastAsia="zh-CN"/>
        </w:rPr>
        <w:t>9</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7</w:t>
      </w:r>
      <w:r>
        <w:rPr>
          <w:rFonts w:hint="eastAsia" w:ascii="宋体"/>
        </w:rPr>
        <w:t>具，灭火毯</w:t>
      </w:r>
      <w:r>
        <w:rPr>
          <w:rFonts w:hint="eastAsia" w:ascii="宋体"/>
          <w:lang w:val="en-US" w:eastAsia="zh-CN"/>
        </w:rPr>
        <w:t>5</w:t>
      </w:r>
      <w:r>
        <w:rPr>
          <w:rFonts w:hint="eastAsia" w:ascii="宋体"/>
        </w:rPr>
        <w:t>块，消防锨4把，消防桶</w:t>
      </w:r>
      <w:r>
        <w:rPr>
          <w:rFonts w:hint="eastAsia" w:ascii="宋体"/>
          <w:lang w:val="en-US" w:eastAsia="zh-CN"/>
        </w:rPr>
        <w:t>4</w:t>
      </w:r>
      <w:r>
        <w:rPr>
          <w:rFonts w:hint="eastAsia" w:ascii="宋体"/>
        </w:rPr>
        <w:t>个，消防沙池2m</w:t>
      </w:r>
      <w:r>
        <w:rPr>
          <w:rFonts w:hint="eastAsia" w:ascii="宋体"/>
          <w:vertAlign w:val="superscript"/>
        </w:rPr>
        <w:t>3</w:t>
      </w:r>
      <w:r>
        <w:rPr>
          <w:rFonts w:hint="eastAsia" w:ascii="宋体"/>
        </w:rPr>
        <w:t>。</w:t>
      </w:r>
    </w:p>
    <w:p w14:paraId="2374800E">
      <w:pPr>
        <w:pStyle w:val="15"/>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p>
    <w:p w14:paraId="04920B1F">
      <w:pPr>
        <w:pStyle w:val="16"/>
        <w:widowControl w:val="0"/>
        <w:adjustRightInd w:val="0"/>
        <w:snapToGrid w:val="0"/>
        <w:spacing w:before="468" w:beforeLines="150" w:after="156" w:afterLines="50" w:line="360" w:lineRule="auto"/>
      </w:pPr>
      <w:bookmarkStart w:id="9" w:name="_Toc102633980"/>
      <w:bookmarkStart w:id="10" w:name="_Toc102633906"/>
      <w:bookmarkStart w:id="11" w:name="_Toc102634406"/>
      <w:bookmarkStart w:id="12" w:name="_Toc102634255"/>
      <w:r>
        <w:t>第四章 评价单元划分与评价方法选择</w:t>
      </w:r>
      <w:bookmarkEnd w:id="9"/>
      <w:bookmarkEnd w:id="10"/>
      <w:bookmarkEnd w:id="11"/>
      <w:bookmarkEnd w:id="12"/>
    </w:p>
    <w:p w14:paraId="78D0D63A">
      <w:pPr>
        <w:adjustRightInd w:val="0"/>
        <w:snapToGrid w:val="0"/>
        <w:spacing w:line="360" w:lineRule="auto"/>
        <w:jc w:val="center"/>
        <w:outlineLvl w:val="1"/>
        <w:rPr>
          <w:rFonts w:ascii="Calibri" w:hAnsi="Calibri" w:eastAsia="楷体_GB2312"/>
          <w:b/>
          <w:kern w:val="0"/>
          <w:sz w:val="32"/>
          <w:szCs w:val="20"/>
        </w:rPr>
      </w:pPr>
      <w:bookmarkStart w:id="13" w:name="_Toc102634407"/>
      <w:bookmarkStart w:id="14" w:name="_Toc198026273"/>
      <w:bookmarkStart w:id="15" w:name="_Toc102633907"/>
      <w:bookmarkStart w:id="16" w:name="_Toc7829"/>
      <w:bookmarkStart w:id="17" w:name="_Toc23543"/>
      <w:bookmarkStart w:id="18" w:name="_Toc102634256"/>
      <w:bookmarkStart w:id="19" w:name="_Toc15033754"/>
      <w:bookmarkStart w:id="20" w:name="_Toc102633981"/>
      <w:bookmarkStart w:id="21" w:name="_Toc238007574"/>
      <w:bookmarkStart w:id="22" w:name="_Toc192907201"/>
      <w:bookmarkStart w:id="23" w:name="_Toc272364536"/>
      <w:r>
        <w:rPr>
          <w:rFonts w:ascii="Calibri" w:hAnsi="Calibri" w:eastAsia="楷体_GB2312"/>
          <w:b/>
          <w:kern w:val="0"/>
          <w:sz w:val="32"/>
          <w:szCs w:val="20"/>
        </w:rPr>
        <w:t>第一节 评价单元的划分</w:t>
      </w:r>
      <w:bookmarkEnd w:id="13"/>
      <w:bookmarkEnd w:id="14"/>
      <w:bookmarkEnd w:id="15"/>
      <w:bookmarkEnd w:id="16"/>
      <w:bookmarkEnd w:id="17"/>
      <w:bookmarkEnd w:id="18"/>
      <w:bookmarkEnd w:id="19"/>
      <w:bookmarkEnd w:id="20"/>
      <w:bookmarkEnd w:id="21"/>
      <w:bookmarkEnd w:id="22"/>
      <w:bookmarkEnd w:id="23"/>
    </w:p>
    <w:p w14:paraId="79CB47C1">
      <w:pPr>
        <w:pStyle w:val="15"/>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42240396">
      <w:pPr>
        <w:pStyle w:val="20"/>
        <w:keepLines w:val="0"/>
        <w:widowControl w:val="0"/>
        <w:overflowPunct/>
        <w:bidi w:val="0"/>
        <w:adjustRightInd w:val="0"/>
        <w:snapToGrid w:val="0"/>
        <w:spacing w:line="360" w:lineRule="auto"/>
        <w:ind w:firstLine="560"/>
        <w:jc w:val="both"/>
      </w:pPr>
      <w:bookmarkStart w:id="24" w:name="_Toc102634257"/>
      <w:r>
        <w:rPr>
          <w:rFonts w:hint="eastAsia"/>
        </w:rPr>
        <w:t>一</w:t>
      </w:r>
      <w:r>
        <w:t>、以危险有害因素的类别为主划分评价单元</w:t>
      </w:r>
      <w:bookmarkEnd w:id="24"/>
    </w:p>
    <w:p w14:paraId="279DBDC2">
      <w:pPr>
        <w:pStyle w:val="15"/>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30A12440">
      <w:pPr>
        <w:pStyle w:val="15"/>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636553D">
      <w:pPr>
        <w:pStyle w:val="20"/>
        <w:keepLines w:val="0"/>
        <w:widowControl w:val="0"/>
        <w:overflowPunct/>
        <w:bidi w:val="0"/>
        <w:adjustRightInd w:val="0"/>
        <w:snapToGrid w:val="0"/>
        <w:spacing w:line="360" w:lineRule="auto"/>
        <w:ind w:firstLine="560"/>
        <w:jc w:val="both"/>
      </w:pPr>
      <w:bookmarkStart w:id="25" w:name="_Toc102634258"/>
      <w:r>
        <w:rPr>
          <w:rFonts w:hint="eastAsia"/>
        </w:rPr>
        <w:t>二</w:t>
      </w:r>
      <w:r>
        <w:t>、以物质特征划分评价单元</w:t>
      </w:r>
      <w:bookmarkEnd w:id="25"/>
    </w:p>
    <w:p w14:paraId="7F2357F5">
      <w:pPr>
        <w:pStyle w:val="15"/>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6D9C771F">
      <w:pPr>
        <w:pStyle w:val="15"/>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21A1D762">
      <w:pPr>
        <w:pStyle w:val="15"/>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2C72902F">
      <w:pPr>
        <w:pStyle w:val="15"/>
        <w:keepLines w:val="0"/>
        <w:widowControl w:val="0"/>
        <w:overflowPunct/>
        <w:bidi w:val="0"/>
        <w:adjustRightInd w:val="0"/>
        <w:snapToGrid w:val="0"/>
        <w:spacing w:line="360" w:lineRule="auto"/>
        <w:ind w:firstLine="560"/>
        <w:rPr>
          <w:rFonts w:ascii="宋体"/>
        </w:rPr>
      </w:pPr>
      <w:r>
        <w:rPr>
          <w:rFonts w:ascii="宋体"/>
        </w:rPr>
        <w:t>1、安全管理；</w:t>
      </w:r>
    </w:p>
    <w:p w14:paraId="0D983634">
      <w:pPr>
        <w:pStyle w:val="15"/>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7ACC637">
      <w:pPr>
        <w:pStyle w:val="15"/>
        <w:keepLines w:val="0"/>
        <w:widowControl w:val="0"/>
        <w:overflowPunct/>
        <w:bidi w:val="0"/>
        <w:adjustRightInd w:val="0"/>
        <w:snapToGrid w:val="0"/>
        <w:spacing w:line="360" w:lineRule="auto"/>
        <w:ind w:firstLine="560"/>
        <w:rPr>
          <w:rFonts w:ascii="宋体"/>
        </w:rPr>
      </w:pPr>
      <w:r>
        <w:rPr>
          <w:rFonts w:ascii="宋体"/>
        </w:rPr>
        <w:t>3、加油工艺及设施；</w:t>
      </w:r>
    </w:p>
    <w:p w14:paraId="2118BF5E">
      <w:pPr>
        <w:pStyle w:val="15"/>
        <w:keepLines w:val="0"/>
        <w:widowControl w:val="0"/>
        <w:overflowPunct/>
        <w:bidi w:val="0"/>
        <w:adjustRightInd w:val="0"/>
        <w:snapToGrid w:val="0"/>
        <w:spacing w:line="360" w:lineRule="auto"/>
        <w:ind w:firstLine="560"/>
        <w:rPr>
          <w:rFonts w:ascii="宋体"/>
        </w:rPr>
      </w:pPr>
      <w:r>
        <w:rPr>
          <w:rFonts w:ascii="宋体"/>
        </w:rPr>
        <w:t>4、其它安全设施等。</w:t>
      </w:r>
      <w:bookmarkStart w:id="26" w:name="_Toc188079886"/>
      <w:bookmarkStart w:id="27" w:name="_Toc272364537"/>
      <w:bookmarkStart w:id="28" w:name="_Toc24232"/>
      <w:bookmarkStart w:id="29" w:name="_Toc198026274"/>
      <w:bookmarkStart w:id="30" w:name="_Toc238007575"/>
      <w:bookmarkStart w:id="31" w:name="_Toc19785"/>
      <w:bookmarkStart w:id="32" w:name="_Toc188080068"/>
      <w:bookmarkStart w:id="33" w:name="_Toc192907202"/>
      <w:bookmarkStart w:id="34" w:name="_Toc15033755"/>
    </w:p>
    <w:p w14:paraId="75CC0079">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35" w:name="_Toc102634259"/>
      <w:bookmarkStart w:id="36" w:name="_Toc102634408"/>
      <w:bookmarkStart w:id="37" w:name="_Toc102633982"/>
      <w:bookmarkStart w:id="38" w:name="_Toc102633908"/>
      <w:r>
        <w:rPr>
          <w:rFonts w:ascii="Calibri" w:hAnsi="Calibri" w:eastAsia="楷体_GB2312"/>
          <w:b/>
          <w:kern w:val="0"/>
          <w:sz w:val="32"/>
          <w:szCs w:val="20"/>
        </w:rPr>
        <w:t>第二节 评价方法的选择</w:t>
      </w:r>
      <w:bookmarkEnd w:id="26"/>
      <w:bookmarkEnd w:id="27"/>
      <w:bookmarkEnd w:id="28"/>
      <w:bookmarkEnd w:id="29"/>
      <w:bookmarkEnd w:id="30"/>
      <w:bookmarkEnd w:id="31"/>
      <w:bookmarkEnd w:id="32"/>
      <w:bookmarkEnd w:id="33"/>
      <w:bookmarkEnd w:id="34"/>
      <w:bookmarkEnd w:id="35"/>
      <w:bookmarkEnd w:id="36"/>
      <w:bookmarkEnd w:id="37"/>
      <w:bookmarkEnd w:id="38"/>
    </w:p>
    <w:p w14:paraId="0CEB6105">
      <w:pPr>
        <w:pStyle w:val="15"/>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3F479575">
      <w:pPr>
        <w:pStyle w:val="15"/>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B2968EF">
      <w:pPr>
        <w:pStyle w:val="15"/>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中国石油天然气股份有限公司山东泰安销售分公司新泰迎宾路加油站</w:t>
      </w:r>
      <w:r>
        <w:rPr>
          <w:rFonts w:ascii="宋体"/>
        </w:rPr>
        <w:t>的具体情况，选用安全检查表、事故树法及危险度评价法对加油站进行评价。具体应用如下表所示：</w:t>
      </w:r>
    </w:p>
    <w:p w14:paraId="38DAF692">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147CF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00D2EFCD">
            <w:pPr>
              <w:pStyle w:val="18"/>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52A21EB4">
            <w:pPr>
              <w:pStyle w:val="18"/>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01DCB823">
            <w:pPr>
              <w:pStyle w:val="18"/>
              <w:keepLines w:val="0"/>
              <w:widowControl w:val="0"/>
              <w:overflowPunct/>
              <w:bidi w:val="0"/>
              <w:adjustRightInd w:val="0"/>
              <w:snapToGrid w:val="0"/>
              <w:spacing w:line="360" w:lineRule="auto"/>
              <w:rPr>
                <w:rFonts w:ascii="宋体"/>
                <w:b/>
              </w:rPr>
            </w:pPr>
            <w:r>
              <w:rPr>
                <w:rFonts w:ascii="宋体"/>
                <w:b/>
                <w:lang w:val="en-GB"/>
              </w:rPr>
              <w:t>评价方法</w:t>
            </w:r>
          </w:p>
        </w:tc>
      </w:tr>
      <w:tr w14:paraId="387D4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D47B265">
            <w:pPr>
              <w:pStyle w:val="18"/>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289330CB">
            <w:pPr>
              <w:pStyle w:val="18"/>
              <w:keepLines w:val="0"/>
              <w:widowControl w:val="0"/>
              <w:overflowPunct/>
              <w:bidi w:val="0"/>
              <w:adjustRightInd w:val="0"/>
              <w:snapToGrid w:val="0"/>
              <w:spacing w:line="360" w:lineRule="auto"/>
              <w:rPr>
                <w:rFonts w:ascii="宋体"/>
                <w:b/>
              </w:rPr>
            </w:pPr>
          </w:p>
        </w:tc>
        <w:tc>
          <w:tcPr>
            <w:tcW w:w="1196" w:type="pct"/>
            <w:vAlign w:val="center"/>
          </w:tcPr>
          <w:p w14:paraId="05DC6435">
            <w:pPr>
              <w:pStyle w:val="18"/>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1BE80EC5">
            <w:pPr>
              <w:pStyle w:val="18"/>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3E2B76F5">
            <w:pPr>
              <w:pStyle w:val="18"/>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3AF2A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298D2B0">
            <w:pPr>
              <w:pStyle w:val="18"/>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4F39FF91">
            <w:pPr>
              <w:pStyle w:val="18"/>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4C0663A9">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667FDC89">
            <w:pPr>
              <w:pStyle w:val="18"/>
              <w:keepLines w:val="0"/>
              <w:widowControl w:val="0"/>
              <w:overflowPunct/>
              <w:bidi w:val="0"/>
              <w:adjustRightInd w:val="0"/>
              <w:snapToGrid w:val="0"/>
              <w:spacing w:line="360" w:lineRule="auto"/>
              <w:rPr>
                <w:rFonts w:ascii="宋体"/>
              </w:rPr>
            </w:pPr>
          </w:p>
        </w:tc>
        <w:tc>
          <w:tcPr>
            <w:tcW w:w="972" w:type="pct"/>
            <w:vAlign w:val="center"/>
          </w:tcPr>
          <w:p w14:paraId="19C33CF6">
            <w:pPr>
              <w:pStyle w:val="18"/>
              <w:keepLines w:val="0"/>
              <w:widowControl w:val="0"/>
              <w:overflowPunct/>
              <w:bidi w:val="0"/>
              <w:adjustRightInd w:val="0"/>
              <w:snapToGrid w:val="0"/>
              <w:spacing w:line="360" w:lineRule="auto"/>
              <w:rPr>
                <w:rFonts w:ascii="宋体"/>
              </w:rPr>
            </w:pPr>
          </w:p>
        </w:tc>
      </w:tr>
      <w:tr w14:paraId="570E6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1996463">
            <w:pPr>
              <w:pStyle w:val="18"/>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51667FA7">
            <w:pPr>
              <w:pStyle w:val="18"/>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39DE53E0">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09B17381">
            <w:pPr>
              <w:pStyle w:val="18"/>
              <w:keepLines w:val="0"/>
              <w:widowControl w:val="0"/>
              <w:overflowPunct/>
              <w:bidi w:val="0"/>
              <w:adjustRightInd w:val="0"/>
              <w:snapToGrid w:val="0"/>
              <w:spacing w:line="360" w:lineRule="auto"/>
              <w:rPr>
                <w:rFonts w:ascii="宋体"/>
              </w:rPr>
            </w:pPr>
          </w:p>
        </w:tc>
        <w:tc>
          <w:tcPr>
            <w:tcW w:w="972" w:type="pct"/>
            <w:vAlign w:val="center"/>
          </w:tcPr>
          <w:p w14:paraId="00D64F26">
            <w:pPr>
              <w:pStyle w:val="18"/>
              <w:keepLines w:val="0"/>
              <w:widowControl w:val="0"/>
              <w:overflowPunct/>
              <w:bidi w:val="0"/>
              <w:adjustRightInd w:val="0"/>
              <w:snapToGrid w:val="0"/>
              <w:spacing w:line="360" w:lineRule="auto"/>
              <w:rPr>
                <w:rFonts w:ascii="宋体"/>
              </w:rPr>
            </w:pPr>
          </w:p>
        </w:tc>
      </w:tr>
      <w:tr w14:paraId="57979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69049E6">
            <w:pPr>
              <w:pStyle w:val="18"/>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253C23EE">
            <w:pPr>
              <w:pStyle w:val="18"/>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7C617DD2">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164E52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7075CB0D">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r>
      <w:tr w14:paraId="4B307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DE90223">
            <w:pPr>
              <w:pStyle w:val="18"/>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05613E83">
            <w:pPr>
              <w:pStyle w:val="18"/>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506EF061">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BC68EB0">
            <w:pPr>
              <w:pStyle w:val="18"/>
              <w:keepLines w:val="0"/>
              <w:widowControl w:val="0"/>
              <w:overflowPunct/>
              <w:bidi w:val="0"/>
              <w:adjustRightInd w:val="0"/>
              <w:snapToGrid w:val="0"/>
              <w:spacing w:line="360" w:lineRule="auto"/>
              <w:rPr>
                <w:rFonts w:ascii="宋体"/>
              </w:rPr>
            </w:pPr>
          </w:p>
        </w:tc>
        <w:tc>
          <w:tcPr>
            <w:tcW w:w="972" w:type="pct"/>
            <w:vAlign w:val="center"/>
          </w:tcPr>
          <w:p w14:paraId="50214088">
            <w:pPr>
              <w:pStyle w:val="18"/>
              <w:keepLines w:val="0"/>
              <w:widowControl w:val="0"/>
              <w:overflowPunct/>
              <w:bidi w:val="0"/>
              <w:adjustRightInd w:val="0"/>
              <w:snapToGrid w:val="0"/>
              <w:spacing w:line="360" w:lineRule="auto"/>
              <w:rPr>
                <w:rFonts w:ascii="宋体"/>
              </w:rPr>
            </w:pPr>
          </w:p>
        </w:tc>
      </w:tr>
    </w:tbl>
    <w:p w14:paraId="446F3E17">
      <w:pPr>
        <w:pStyle w:val="15"/>
        <w:widowControl w:val="0"/>
        <w:spacing w:line="360" w:lineRule="auto"/>
        <w:ind w:firstLine="420"/>
        <w:rPr>
          <w:rFonts w:ascii="黑体" w:hAnsi="黑体" w:eastAsia="黑体"/>
          <w:sz w:val="21"/>
          <w:szCs w:val="21"/>
          <w:u w:color="000000"/>
        </w:rPr>
      </w:pPr>
      <w:r>
        <w:rPr>
          <w:rFonts w:ascii="黑体" w:hAnsi="黑体" w:eastAsia="黑体"/>
          <w:sz w:val="21"/>
          <w:szCs w:val="21"/>
          <w:u w:color="000000"/>
        </w:rPr>
        <w:t>注：表中“★”表示采用的评价方法。</w:t>
      </w:r>
    </w:p>
    <w:p w14:paraId="4D892009">
      <w:pPr>
        <w:rPr>
          <w:rFonts w:eastAsia="黑体"/>
          <w:kern w:val="2"/>
          <w:sz w:val="32"/>
          <w:szCs w:val="21"/>
        </w:rPr>
      </w:pPr>
      <w:bookmarkStart w:id="39" w:name="_Toc102633914"/>
      <w:bookmarkStart w:id="40" w:name="_Toc9894"/>
      <w:bookmarkStart w:id="41" w:name="_Toc102634276"/>
      <w:bookmarkStart w:id="42" w:name="_Toc102633988"/>
      <w:bookmarkStart w:id="43" w:name="_Toc15033761"/>
      <w:bookmarkStart w:id="44" w:name="_Toc102634414"/>
      <w:r>
        <w:rPr>
          <w:rFonts w:eastAsia="黑体"/>
          <w:kern w:val="2"/>
          <w:sz w:val="32"/>
          <w:szCs w:val="21"/>
        </w:rPr>
        <w:br w:type="page"/>
      </w:r>
    </w:p>
    <w:bookmarkEnd w:id="39"/>
    <w:bookmarkEnd w:id="40"/>
    <w:bookmarkEnd w:id="41"/>
    <w:bookmarkEnd w:id="42"/>
    <w:bookmarkEnd w:id="43"/>
    <w:bookmarkEnd w:id="44"/>
    <w:p w14:paraId="6E9619ED">
      <w:pPr>
        <w:pStyle w:val="16"/>
        <w:keepLines w:val="0"/>
        <w:widowControl w:val="0"/>
        <w:overflowPunct/>
        <w:bidi w:val="0"/>
        <w:adjustRightInd w:val="0"/>
        <w:snapToGrid w:val="0"/>
        <w:spacing w:before="468" w:beforeLines="150" w:after="156" w:afterLines="50" w:line="360" w:lineRule="auto"/>
      </w:pPr>
      <w:r>
        <w:t>第六章  安全对策措施及建议</w:t>
      </w:r>
    </w:p>
    <w:p w14:paraId="059EF73A">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5" w:name="_Toc339456079"/>
      <w:bookmarkStart w:id="46" w:name="_Toc225046264"/>
      <w:bookmarkStart w:id="47" w:name="_Toc102633915"/>
      <w:bookmarkStart w:id="48" w:name="_Toc102633989"/>
      <w:bookmarkStart w:id="49" w:name="_Toc15033762"/>
      <w:bookmarkStart w:id="50" w:name="_Toc102634415"/>
      <w:bookmarkStart w:id="51" w:name="_Toc242065302"/>
      <w:bookmarkStart w:id="52" w:name="_Toc102634277"/>
      <w:bookmarkStart w:id="53" w:name="_Toc4961"/>
      <w:bookmarkStart w:id="54" w:name="_Toc348877039"/>
      <w:r>
        <w:rPr>
          <w:rFonts w:ascii="Calibri" w:hAnsi="Calibri" w:eastAsia="楷体_GB2312"/>
          <w:b/>
          <w:kern w:val="0"/>
          <w:sz w:val="32"/>
          <w:szCs w:val="20"/>
        </w:rPr>
        <w:t xml:space="preserve">第一节 </w:t>
      </w:r>
      <w:bookmarkEnd w:id="45"/>
      <w:bookmarkEnd w:id="46"/>
      <w:r>
        <w:rPr>
          <w:rFonts w:ascii="Calibri" w:hAnsi="Calibri" w:eastAsia="楷体_GB2312"/>
          <w:b/>
          <w:kern w:val="0"/>
          <w:sz w:val="32"/>
          <w:szCs w:val="20"/>
        </w:rPr>
        <w:t>存在的问题及整改建议</w:t>
      </w:r>
      <w:bookmarkEnd w:id="47"/>
      <w:bookmarkEnd w:id="48"/>
      <w:bookmarkEnd w:id="49"/>
      <w:bookmarkEnd w:id="50"/>
      <w:bookmarkEnd w:id="51"/>
      <w:bookmarkEnd w:id="52"/>
      <w:bookmarkEnd w:id="53"/>
      <w:bookmarkEnd w:id="54"/>
    </w:p>
    <w:p w14:paraId="3EABC84F">
      <w:pPr>
        <w:keepLines w:val="0"/>
        <w:overflowPunct/>
        <w:bidi w:val="0"/>
        <w:adjustRightInd w:val="0"/>
        <w:snapToGrid w:val="0"/>
        <w:spacing w:line="360" w:lineRule="auto"/>
        <w:ind w:firstLine="560" w:firstLineChars="200"/>
        <w:rPr>
          <w:rFonts w:ascii="宋体"/>
          <w:kern w:val="0"/>
          <w:sz w:val="28"/>
          <w:szCs w:val="20"/>
        </w:rPr>
      </w:pPr>
      <w:bookmarkStart w:id="55" w:name="_Toc15033763"/>
      <w:bookmarkStart w:id="56" w:name="_Toc49590281"/>
      <w:r>
        <w:rPr>
          <w:rFonts w:ascii="宋体"/>
          <w:kern w:val="0"/>
          <w:sz w:val="28"/>
          <w:szCs w:val="20"/>
        </w:rPr>
        <w:t>通过现场检查和审查有关资料</w:t>
      </w:r>
      <w:r>
        <w:rPr>
          <w:rFonts w:hint="eastAsia" w:ascii="宋体"/>
          <w:kern w:val="0"/>
          <w:sz w:val="28"/>
          <w:szCs w:val="20"/>
        </w:rPr>
        <w:t>可以看出，该加油站发现以下问题：</w:t>
      </w:r>
    </w:p>
    <w:bookmarkEnd w:id="55"/>
    <w:bookmarkEnd w:id="56"/>
    <w:p w14:paraId="697535A9">
      <w:pPr>
        <w:keepLines w:val="0"/>
        <w:widowControl/>
        <w:overflowPunct/>
        <w:bidi w:val="0"/>
        <w:adjustRightInd w:val="0"/>
        <w:snapToGrid w:val="0"/>
        <w:spacing w:line="360" w:lineRule="auto"/>
        <w:ind w:firstLine="480"/>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1FCB3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030369A">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19C9FED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B6B617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22812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FFCB4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5C6036D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西南侧罩棚立柱未设防撞措施。</w:t>
            </w:r>
          </w:p>
        </w:tc>
        <w:tc>
          <w:tcPr>
            <w:tcW w:w="4740" w:type="dxa"/>
            <w:vAlign w:val="center"/>
          </w:tcPr>
          <w:p w14:paraId="79488A5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罩棚柱应有防止车辆碰撞的技术措施。</w:t>
            </w:r>
          </w:p>
        </w:tc>
      </w:tr>
    </w:tbl>
    <w:p w14:paraId="13379AD0">
      <w:pPr>
        <w:pStyle w:val="15"/>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kern w:val="0"/>
          <w:sz w:val="28"/>
          <w:szCs w:val="20"/>
        </w:rPr>
        <w:t>该加油站将上述问题整改合格后，在安全管理、站址选择及总平面布置、加油工艺及设施、其它设施等方面符合有关法律、标准规范的要求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4"/>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04840" cy="8872855"/>
            <wp:effectExtent l="0" t="0" r="10160" b="4445"/>
            <wp:docPr id="8" name="图片 8" descr="扫描全能王 ⁨2025-6-20 17.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6-20 17.04⁩_4"/>
                    <pic:cNvPicPr>
                      <a:picLocks noChangeAspect="1"/>
                    </pic:cNvPicPr>
                  </pic:nvPicPr>
                  <pic:blipFill>
                    <a:blip r:embed="rId9"/>
                    <a:stretch>
                      <a:fillRect/>
                    </a:stretch>
                  </pic:blipFill>
                  <pic:spPr>
                    <a:xfrm>
                      <a:off x="0" y="0"/>
                      <a:ext cx="5704840" cy="8872855"/>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598795" cy="8889365"/>
            <wp:effectExtent l="0" t="0" r="1905" b="6985"/>
            <wp:docPr id="7" name="图片 7" descr="扫描全能王 ⁨2025-6-20 17.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6-20 17.04⁩_5"/>
                    <pic:cNvPicPr>
                      <a:picLocks noChangeAspect="1"/>
                    </pic:cNvPicPr>
                  </pic:nvPicPr>
                  <pic:blipFill>
                    <a:blip r:embed="rId10"/>
                    <a:stretch>
                      <a:fillRect/>
                    </a:stretch>
                  </pic:blipFill>
                  <pic:spPr>
                    <a:xfrm>
                      <a:off x="0" y="0"/>
                      <a:ext cx="5598795" cy="8889365"/>
                    </a:xfrm>
                    <a:prstGeom prst="rect">
                      <a:avLst/>
                    </a:prstGeom>
                  </pic:spPr>
                </pic:pic>
              </a:graphicData>
            </a:graphic>
          </wp:inline>
        </w:drawing>
      </w:r>
      <w:bookmarkStart w:id="57" w:name="_GoBack"/>
      <w:r>
        <w:rPr>
          <w:rFonts w:hint="eastAsia" w:eastAsiaTheme="minorEastAsia"/>
          <w:color w:val="auto"/>
          <w:sz w:val="28"/>
          <w:szCs w:val="20"/>
          <w:lang w:eastAsia="zh-CN"/>
        </w:rPr>
        <w:drawing>
          <wp:inline distT="0" distB="0" distL="114300" distR="114300">
            <wp:extent cx="5748655" cy="8611235"/>
            <wp:effectExtent l="0" t="0" r="4445" b="18415"/>
            <wp:docPr id="6" name="图片 6" descr="扫描全能王 ⁨2025-6-20 17.0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6-20 17.04⁩_6"/>
                    <pic:cNvPicPr>
                      <a:picLocks noChangeAspect="1"/>
                    </pic:cNvPicPr>
                  </pic:nvPicPr>
                  <pic:blipFill>
                    <a:blip r:embed="rId11"/>
                    <a:stretch>
                      <a:fillRect/>
                    </a:stretch>
                  </pic:blipFill>
                  <pic:spPr>
                    <a:xfrm>
                      <a:off x="0" y="0"/>
                      <a:ext cx="5748655" cy="8611235"/>
                    </a:xfrm>
                    <a:prstGeom prst="rect">
                      <a:avLst/>
                    </a:prstGeom>
                  </pic:spPr>
                </pic:pic>
              </a:graphicData>
            </a:graphic>
          </wp:inline>
        </w:drawing>
      </w:r>
      <w:bookmarkEnd w:id="57"/>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9D5345C"/>
    <w:rsid w:val="0A27015B"/>
    <w:rsid w:val="0BD51C61"/>
    <w:rsid w:val="0D0B1052"/>
    <w:rsid w:val="0EC853E9"/>
    <w:rsid w:val="0EDC1223"/>
    <w:rsid w:val="13C277AD"/>
    <w:rsid w:val="13D12EE6"/>
    <w:rsid w:val="153C4810"/>
    <w:rsid w:val="16BC1C2B"/>
    <w:rsid w:val="1E1E483E"/>
    <w:rsid w:val="22CB7136"/>
    <w:rsid w:val="284F788D"/>
    <w:rsid w:val="28E348A1"/>
    <w:rsid w:val="2A9D36CA"/>
    <w:rsid w:val="2E374561"/>
    <w:rsid w:val="2EB02BD7"/>
    <w:rsid w:val="2EC41433"/>
    <w:rsid w:val="32DB1C5F"/>
    <w:rsid w:val="335F1F61"/>
    <w:rsid w:val="354E2190"/>
    <w:rsid w:val="355F439E"/>
    <w:rsid w:val="35CC29B8"/>
    <w:rsid w:val="3B343FFC"/>
    <w:rsid w:val="3BB85D78"/>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annotation text"/>
    <w:basedOn w:val="1"/>
    <w:qFormat/>
    <w:uiPriority w:val="0"/>
    <w:pPr>
      <w:jc w:val="left"/>
    </w:pPr>
  </w:style>
  <w:style w:type="paragraph" w:styleId="4">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Body Text First Indent"/>
    <w:basedOn w:val="4"/>
    <w:next w:val="1"/>
    <w:qFormat/>
    <w:uiPriority w:val="0"/>
    <w:pPr>
      <w:ind w:firstLine="420" w:firstLineChars="100"/>
    </w:pPr>
    <w:rPr>
      <w:b/>
      <w:u w:val="single"/>
    </w:rPr>
  </w:style>
  <w:style w:type="paragraph" w:styleId="8">
    <w:name w:val="Body Text First Indent 2"/>
    <w:basedOn w:val="5"/>
    <w:next w:val="1"/>
    <w:qFormat/>
    <w:uiPriority w:val="0"/>
    <w:pPr>
      <w:tabs>
        <w:tab w:val="left" w:pos="6120"/>
      </w:tabs>
      <w:spacing w:line="520" w:lineRule="exact"/>
      <w:ind w:left="0" w:leftChars="0"/>
    </w:pPr>
    <w:rPr>
      <w:rFonts w:ascii="黑体" w:hAnsi="黑体" w:eastAsia="黑体" w:cs="宋体"/>
      <w:sz w:val="28"/>
    </w:rPr>
  </w:style>
  <w:style w:type="paragraph" w:customStyle="1" w:styleId="11">
    <w:name w:val="111"/>
    <w:basedOn w:val="12"/>
    <w:qFormat/>
    <w:uiPriority w:val="0"/>
    <w:pPr>
      <w:widowControl/>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eastAsia="en-US"/>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3351</Words>
  <Characters>3660</Characters>
  <Lines>25</Lines>
  <Paragraphs>7</Paragraphs>
  <TotalTime>0</TotalTime>
  <ScaleCrop>false</ScaleCrop>
  <LinksUpToDate>false</LinksUpToDate>
  <CharactersWithSpaces>3698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2025-06-20T09:07:54Z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