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AFE" w:rsidRDefault="008D5D6E">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A52AFE" w:rsidRDefault="008D5D6E">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8D5D6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中国石油天然气股份有限公司山东泰安销售分公司上高华侨城</w:t>
            </w:r>
            <w:r>
              <w:rPr>
                <w:rFonts w:ascii="宋体" w:eastAsia="宋体" w:hAnsi="宋体" w:cs="宋体" w:hint="eastAsia"/>
                <w:kern w:val="0"/>
                <w:szCs w:val="21"/>
              </w:rPr>
              <w:t>加油站</w:t>
            </w:r>
          </w:p>
          <w:p w:rsidR="00A52AFE" w:rsidRDefault="008D5D6E">
            <w:pPr>
              <w:autoSpaceDE w:val="0"/>
              <w:autoSpaceDN w:val="0"/>
              <w:adjustRightInd w:val="0"/>
              <w:snapToGrid w:val="0"/>
              <w:jc w:val="center"/>
              <w:rPr>
                <w:rFonts w:ascii="宋体" w:eastAsia="宋体" w:hAnsi="宋体" w:cs="宋体"/>
                <w:kern w:val="0"/>
                <w:szCs w:val="21"/>
              </w:rPr>
            </w:pPr>
            <w:r>
              <w:rPr>
                <w:rFonts w:ascii="宋体" w:hint="eastAsia"/>
                <w:color w:val="000000" w:themeColor="text1"/>
              </w:rPr>
              <w:t>经营危险化学品现状评价</w:t>
            </w:r>
          </w:p>
        </w:tc>
        <w:bookmarkStart w:id="0" w:name="_GoBack"/>
        <w:bookmarkEnd w:id="0"/>
      </w:tr>
      <w:tr w:rsidR="00A52AFE">
        <w:trPr>
          <w:trHeight w:val="2451"/>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A52AFE" w:rsidRDefault="008D5D6E">
            <w:pPr>
              <w:adjustRightInd w:val="0"/>
              <w:snapToGrid w:val="0"/>
              <w:rPr>
                <w:rFonts w:ascii="宋体" w:hAnsi="宋体"/>
                <w:sz w:val="20"/>
              </w:rPr>
            </w:pPr>
            <w:r>
              <w:rPr>
                <w:rFonts w:ascii="宋体" w:hAnsi="宋体" w:hint="eastAsia"/>
                <w:sz w:val="20"/>
              </w:rPr>
              <w:t>中国石油天然气股份有限公司山东泰安销售分公司上高华侨城加油站位于泰安市泰山区郭家灌庄光明机械厂</w:t>
            </w:r>
            <w:proofErr w:type="gramStart"/>
            <w:r>
              <w:rPr>
                <w:rFonts w:ascii="宋体" w:hAnsi="宋体" w:hint="eastAsia"/>
                <w:sz w:val="20"/>
              </w:rPr>
              <w:t>西邻泰新路</w:t>
            </w:r>
            <w:proofErr w:type="gramEnd"/>
            <w:r>
              <w:rPr>
                <w:rFonts w:ascii="宋体" w:hAnsi="宋体" w:hint="eastAsia"/>
                <w:sz w:val="20"/>
              </w:rPr>
              <w:t>南侧，该站西侧是汽车修理厂，南侧是闲置厂房，东侧是河道（河道东侧为民房），北侧是灵山大街。该站经营许可范围为汽油、乙醇汽油、柴油，现其主要储存经营汽油、乙醇汽油，暂不储存经营柴油。此次现状评价报告与</w:t>
            </w:r>
            <w:proofErr w:type="gramStart"/>
            <w:r>
              <w:rPr>
                <w:rFonts w:ascii="宋体" w:hAnsi="宋体" w:hint="eastAsia"/>
                <w:sz w:val="20"/>
              </w:rPr>
              <w:t>上次报告</w:t>
            </w:r>
            <w:proofErr w:type="gramEnd"/>
            <w:r>
              <w:rPr>
                <w:rFonts w:ascii="宋体" w:hAnsi="宋体" w:hint="eastAsia"/>
                <w:sz w:val="20"/>
              </w:rPr>
              <w:t>相比，该站卸油作业区新增人体静电释放仪，加油区增设</w:t>
            </w:r>
            <w:r>
              <w:rPr>
                <w:rFonts w:ascii="宋体" w:hAnsi="宋体" w:hint="eastAsia"/>
                <w:sz w:val="20"/>
              </w:rPr>
              <w:t>4</w:t>
            </w:r>
            <w:r>
              <w:rPr>
                <w:rFonts w:ascii="宋体" w:hAnsi="宋体" w:hint="eastAsia"/>
                <w:sz w:val="20"/>
              </w:rPr>
              <w:t>台可燃气体探测器（站房内增设可燃气体报警控制器），更换</w:t>
            </w:r>
            <w:r>
              <w:rPr>
                <w:rFonts w:ascii="宋体" w:hAnsi="宋体" w:hint="eastAsia"/>
                <w:sz w:val="20"/>
              </w:rPr>
              <w:t>4</w:t>
            </w:r>
            <w:r>
              <w:rPr>
                <w:rFonts w:ascii="宋体" w:hAnsi="宋体" w:hint="eastAsia"/>
                <w:sz w:val="20"/>
              </w:rPr>
              <w:t>台加油机（枪数、油品未发生改变），站区西侧原为闲置厂房现为汽车修理厂，其余周边环境、站内设备设</w:t>
            </w:r>
            <w:r>
              <w:rPr>
                <w:rFonts w:ascii="宋体" w:hAnsi="宋体" w:hint="eastAsia"/>
                <w:sz w:val="20"/>
              </w:rPr>
              <w:t>施、主要建构筑物均未发生变化。</w:t>
            </w:r>
          </w:p>
          <w:p w:rsidR="00A52AFE" w:rsidRDefault="008D5D6E">
            <w:pPr>
              <w:adjustRightInd w:val="0"/>
              <w:snapToGrid w:val="0"/>
              <w:rPr>
                <w:rFonts w:ascii="宋体" w:eastAsia="宋体" w:hAnsi="宋体" w:cs="宋体"/>
                <w:kern w:val="0"/>
                <w:szCs w:val="21"/>
              </w:rPr>
            </w:pPr>
            <w:r>
              <w:rPr>
                <w:rFonts w:ascii="宋体" w:hAnsi="宋体" w:hint="eastAsia"/>
                <w:sz w:val="20"/>
              </w:rPr>
              <w:t>该加油站主要建有站房、油罐区、加油区等。站房在站区南部，加油区在站房北侧，现有</w:t>
            </w:r>
            <w:r>
              <w:rPr>
                <w:rFonts w:ascii="宋体" w:hAnsi="宋体" w:hint="eastAsia"/>
                <w:sz w:val="20"/>
              </w:rPr>
              <w:t>4</w:t>
            </w:r>
            <w:r>
              <w:rPr>
                <w:rFonts w:ascii="宋体" w:hAnsi="宋体" w:hint="eastAsia"/>
                <w:sz w:val="20"/>
              </w:rPr>
              <w:t>台四枪加油机：其中</w:t>
            </w:r>
            <w:r>
              <w:rPr>
                <w:rFonts w:ascii="宋体" w:hAnsi="宋体" w:hint="eastAsia"/>
                <w:sz w:val="20"/>
              </w:rPr>
              <w:t>1</w:t>
            </w:r>
            <w:r>
              <w:rPr>
                <w:rFonts w:ascii="宋体" w:hAnsi="宋体" w:hint="eastAsia"/>
                <w:sz w:val="20"/>
              </w:rPr>
              <w:t>台</w:t>
            </w:r>
            <w:r>
              <w:rPr>
                <w:rFonts w:ascii="宋体" w:hAnsi="宋体" w:hint="eastAsia"/>
                <w:sz w:val="20"/>
              </w:rPr>
              <w:t>92#</w:t>
            </w:r>
            <w:r>
              <w:rPr>
                <w:rFonts w:ascii="宋体" w:hAnsi="宋体" w:hint="eastAsia"/>
                <w:sz w:val="20"/>
              </w:rPr>
              <w:t>乙醇汽油四枪加油机、</w:t>
            </w:r>
            <w:r>
              <w:rPr>
                <w:rFonts w:ascii="宋体" w:hAnsi="宋体" w:hint="eastAsia"/>
                <w:sz w:val="20"/>
              </w:rPr>
              <w:t>1</w:t>
            </w:r>
            <w:r>
              <w:rPr>
                <w:rFonts w:ascii="宋体" w:hAnsi="宋体" w:hint="eastAsia"/>
                <w:sz w:val="20"/>
              </w:rPr>
              <w:t>台</w:t>
            </w:r>
            <w:r>
              <w:rPr>
                <w:rFonts w:ascii="宋体" w:hAnsi="宋体" w:hint="eastAsia"/>
                <w:sz w:val="20"/>
              </w:rPr>
              <w:t>92#</w:t>
            </w:r>
            <w:r>
              <w:rPr>
                <w:rFonts w:ascii="宋体" w:hAnsi="宋体" w:hint="eastAsia"/>
                <w:sz w:val="20"/>
              </w:rPr>
              <w:t>乙醇汽油</w:t>
            </w:r>
            <w:r>
              <w:rPr>
                <w:rFonts w:ascii="宋体" w:hAnsi="宋体" w:hint="eastAsia"/>
                <w:sz w:val="20"/>
              </w:rPr>
              <w:t>/95#</w:t>
            </w:r>
            <w:r>
              <w:rPr>
                <w:rFonts w:ascii="宋体" w:hAnsi="宋体" w:hint="eastAsia"/>
                <w:sz w:val="20"/>
              </w:rPr>
              <w:t>汽油四枪加油机、</w:t>
            </w:r>
            <w:r>
              <w:rPr>
                <w:rFonts w:ascii="宋体" w:hAnsi="宋体" w:hint="eastAsia"/>
                <w:sz w:val="20"/>
              </w:rPr>
              <w:t>2</w:t>
            </w:r>
            <w:r>
              <w:rPr>
                <w:rFonts w:ascii="宋体" w:hAnsi="宋体" w:hint="eastAsia"/>
                <w:sz w:val="20"/>
              </w:rPr>
              <w:t>台</w:t>
            </w:r>
            <w:r>
              <w:rPr>
                <w:rFonts w:ascii="宋体" w:hAnsi="宋体" w:hint="eastAsia"/>
                <w:sz w:val="20"/>
              </w:rPr>
              <w:t>95#</w:t>
            </w:r>
            <w:r>
              <w:rPr>
                <w:rFonts w:ascii="宋体" w:hAnsi="宋体" w:hint="eastAsia"/>
                <w:sz w:val="20"/>
              </w:rPr>
              <w:t>汽油</w:t>
            </w:r>
            <w:r>
              <w:rPr>
                <w:rFonts w:ascii="宋体" w:hAnsi="宋体" w:hint="eastAsia"/>
                <w:sz w:val="20"/>
              </w:rPr>
              <w:t>/98#</w:t>
            </w:r>
            <w:r>
              <w:rPr>
                <w:rFonts w:ascii="宋体" w:hAnsi="宋体" w:hint="eastAsia"/>
                <w:sz w:val="20"/>
              </w:rPr>
              <w:t>汽油四枪加油机，均为潜油泵式；油罐区布置在站房东侧（布置在车行道下、承重罐区），自北向南分别为：</w:t>
            </w:r>
            <w:r>
              <w:rPr>
                <w:rFonts w:ascii="宋体" w:hAnsi="宋体" w:hint="eastAsia"/>
                <w:sz w:val="20"/>
              </w:rPr>
              <w:t>2</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92#</w:t>
            </w:r>
            <w:r>
              <w:rPr>
                <w:rFonts w:ascii="宋体" w:hAnsi="宋体" w:hint="eastAsia"/>
                <w:sz w:val="20"/>
              </w:rPr>
              <w:t>乙醇汽油罐、</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95#</w:t>
            </w:r>
            <w:r>
              <w:rPr>
                <w:rFonts w:ascii="宋体" w:hAnsi="宋体" w:hint="eastAsia"/>
                <w:sz w:val="20"/>
              </w:rPr>
              <w:t>汽油罐、</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98#</w:t>
            </w:r>
            <w:r>
              <w:rPr>
                <w:rFonts w:ascii="宋体" w:hAnsi="宋体" w:hint="eastAsia"/>
                <w:sz w:val="20"/>
              </w:rPr>
              <w:t>汽油罐，汽油（乙醇汽油）卸油口位于罐区东北侧，卸油口南侧共有通气管</w:t>
            </w:r>
            <w:r>
              <w:rPr>
                <w:rFonts w:ascii="宋体" w:hAnsi="宋体" w:hint="eastAsia"/>
                <w:sz w:val="20"/>
              </w:rPr>
              <w:t>3</w:t>
            </w:r>
            <w:r>
              <w:rPr>
                <w:rFonts w:ascii="宋体" w:hAnsi="宋体" w:hint="eastAsia"/>
                <w:sz w:val="20"/>
              </w:rPr>
              <w:t>根（含油气回收处理装置通气管）；按《汽车加油加气加</w:t>
            </w:r>
            <w:r>
              <w:rPr>
                <w:rFonts w:ascii="宋体" w:hAnsi="宋体" w:hint="eastAsia"/>
                <w:sz w:val="20"/>
              </w:rPr>
              <w:t>氢站技术标准》</w:t>
            </w:r>
            <w:r>
              <w:rPr>
                <w:rFonts w:ascii="宋体" w:hAnsi="宋体" w:hint="eastAsia"/>
                <w:sz w:val="20"/>
              </w:rPr>
              <w:t>GB50156-2021</w:t>
            </w:r>
            <w:r>
              <w:rPr>
                <w:rFonts w:ascii="宋体" w:hAnsi="宋体" w:hint="eastAsia"/>
                <w:sz w:val="20"/>
              </w:rPr>
              <w:t>标准规定：</w:t>
            </w:r>
            <w:r>
              <w:rPr>
                <w:rFonts w:ascii="宋体" w:hAnsi="宋体" w:hint="eastAsia"/>
                <w:sz w:val="20"/>
              </w:rPr>
              <w:t>V=120m3</w:t>
            </w:r>
            <w:r>
              <w:rPr>
                <w:rFonts w:ascii="宋体" w:hAnsi="宋体" w:hint="eastAsia"/>
                <w:sz w:val="20"/>
              </w:rPr>
              <w:t>，该站属二级加油站；该站汽油（乙醇汽油）设有卸油油气回收系统、加油油气回收系统及油气回收处理装置（三次油气回收）</w:t>
            </w:r>
            <w:r>
              <w:rPr>
                <w:rFonts w:ascii="宋体" w:hAnsi="宋体" w:hint="eastAsia"/>
                <w:sz w:val="20"/>
              </w:rPr>
              <w:t>。</w:t>
            </w: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w:t>
            </w:r>
            <w:r>
              <w:rPr>
                <w:rFonts w:ascii="宋体" w:eastAsia="宋体" w:hAnsi="宋体" w:cs="宋体" w:hint="eastAsia"/>
                <w:kern w:val="0"/>
                <w:szCs w:val="21"/>
              </w:rPr>
              <w:t xml:space="preserve">  </w:t>
            </w:r>
            <w:r>
              <w:rPr>
                <w:rFonts w:ascii="宋体" w:eastAsia="宋体" w:hAnsi="宋体" w:cs="宋体" w:hint="eastAsia"/>
                <w:kern w:val="0"/>
                <w:szCs w:val="21"/>
              </w:rPr>
              <w:t>名</w:t>
            </w:r>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vMerge w:val="restart"/>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w:t>
            </w:r>
            <w:r>
              <w:rPr>
                <w:rFonts w:ascii="宋体" w:eastAsia="宋体" w:hAnsi="宋体" w:cs="宋体" w:hint="eastAsia"/>
                <w:kern w:val="0"/>
                <w:szCs w:val="21"/>
              </w:rPr>
              <w:t xml:space="preserve">  </w:t>
            </w:r>
            <w:r>
              <w:rPr>
                <w:rFonts w:ascii="宋体" w:eastAsia="宋体" w:hAnsi="宋体" w:cs="宋体" w:hint="eastAsia"/>
                <w:kern w:val="0"/>
                <w:szCs w:val="21"/>
              </w:rPr>
              <w:t>静</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赵</w:t>
            </w:r>
            <w:r>
              <w:rPr>
                <w:rFonts w:ascii="宋体" w:eastAsia="宋体" w:hAnsi="宋体" w:cs="宋体" w:hint="eastAsia"/>
                <w:kern w:val="0"/>
                <w:szCs w:val="21"/>
              </w:rPr>
              <w:t xml:space="preserve">  </w:t>
            </w:r>
            <w:r>
              <w:rPr>
                <w:rFonts w:ascii="宋体" w:eastAsia="宋体" w:hAnsi="宋体" w:cs="宋体" w:hint="eastAsia"/>
                <w:kern w:val="0"/>
                <w:szCs w:val="21"/>
              </w:rPr>
              <w:t>燕</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w:t>
            </w:r>
            <w:r>
              <w:rPr>
                <w:rFonts w:ascii="宋体" w:eastAsia="宋体" w:hAnsi="宋体" w:cs="宋体" w:hint="eastAsia"/>
                <w:kern w:val="0"/>
                <w:szCs w:val="21"/>
              </w:rPr>
              <w:t xml:space="preserve">  </w:t>
            </w:r>
            <w:r>
              <w:rPr>
                <w:rFonts w:ascii="宋体" w:eastAsia="宋体" w:hAnsi="宋体" w:cs="宋体" w:hint="eastAsia"/>
                <w:kern w:val="0"/>
                <w:szCs w:val="21"/>
              </w:rPr>
              <w:t>虎</w:t>
            </w:r>
          </w:p>
        </w:tc>
        <w:tc>
          <w:tcPr>
            <w:tcW w:w="2918" w:type="dxa"/>
            <w:tcBorders>
              <w:tl2br w:val="nil"/>
              <w:tr2bl w:val="nil"/>
            </w:tcBorders>
            <w:shd w:val="clear" w:color="auto" w:fill="auto"/>
            <w:noWrap/>
            <w:vAlign w:val="center"/>
          </w:tcPr>
          <w:p w:rsidR="00A52AFE" w:rsidRDefault="00A52AFE">
            <w:pPr>
              <w:autoSpaceDE w:val="0"/>
              <w:autoSpaceDN w:val="0"/>
              <w:adjustRightInd w:val="0"/>
              <w:snapToGrid w:val="0"/>
              <w:jc w:val="center"/>
              <w:rPr>
                <w:rFonts w:ascii="宋体" w:eastAsia="宋体" w:hAnsi="宋体" w:cs="宋体"/>
                <w:kern w:val="0"/>
                <w:szCs w:val="21"/>
              </w:rPr>
            </w:pPr>
          </w:p>
        </w:tc>
      </w:tr>
      <w:tr w:rsidR="00A52AFE">
        <w:trPr>
          <w:trHeight w:val="283"/>
          <w:jc w:val="center"/>
        </w:trPr>
        <w:tc>
          <w:tcPr>
            <w:tcW w:w="1832" w:type="dxa"/>
            <w:vMerge w:val="restart"/>
            <w:tcBorders>
              <w:tl2br w:val="nil"/>
              <w:tr2bl w:val="nil"/>
            </w:tcBorders>
            <w:shd w:val="clear" w:color="auto" w:fill="auto"/>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w:t>
            </w:r>
            <w:r>
              <w:rPr>
                <w:rFonts w:ascii="宋体" w:eastAsia="宋体" w:hAnsi="宋体" w:cs="宋体" w:hint="eastAsia"/>
                <w:kern w:val="0"/>
                <w:szCs w:val="21"/>
              </w:rPr>
              <w:t xml:space="preserve">  </w:t>
            </w:r>
            <w:r>
              <w:rPr>
                <w:rFonts w:ascii="宋体" w:eastAsia="宋体" w:hAnsi="宋体" w:cs="宋体" w:hint="eastAsia"/>
                <w:kern w:val="0"/>
                <w:szCs w:val="21"/>
              </w:rPr>
              <w:t>间</w:t>
            </w:r>
          </w:p>
        </w:tc>
        <w:tc>
          <w:tcPr>
            <w:tcW w:w="2350"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2025.04.01</w:t>
            </w:r>
          </w:p>
        </w:tc>
        <w:tc>
          <w:tcPr>
            <w:tcW w:w="2350"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2025.04.26</w:t>
            </w:r>
          </w:p>
        </w:tc>
        <w:tc>
          <w:tcPr>
            <w:tcW w:w="2350"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w:t>
            </w:r>
            <w:r>
              <w:rPr>
                <w:rFonts w:ascii="宋体" w:eastAsia="宋体" w:hAnsi="宋体" w:cs="宋体" w:hint="eastAsia"/>
                <w:kern w:val="0"/>
                <w:szCs w:val="21"/>
              </w:rPr>
              <w:t>04.28</w:t>
            </w:r>
          </w:p>
        </w:tc>
        <w:tc>
          <w:tcPr>
            <w:tcW w:w="2350"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A52AFE">
        <w:trPr>
          <w:trHeight w:val="283"/>
          <w:jc w:val="center"/>
        </w:trPr>
        <w:tc>
          <w:tcPr>
            <w:tcW w:w="1832" w:type="dxa"/>
            <w:vMerge/>
            <w:tcBorders>
              <w:tl2br w:val="nil"/>
              <w:tr2bl w:val="nil"/>
            </w:tcBorders>
            <w:shd w:val="clear" w:color="auto" w:fill="auto"/>
            <w:vAlign w:val="center"/>
          </w:tcPr>
          <w:p w:rsidR="00A52AFE" w:rsidRDefault="00A52AF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2025.05.02</w:t>
            </w:r>
          </w:p>
        </w:tc>
        <w:tc>
          <w:tcPr>
            <w:tcW w:w="2350"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52AFE" w:rsidRDefault="008D5D6E">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现场核查</w:t>
            </w:r>
          </w:p>
        </w:tc>
      </w:tr>
      <w:tr w:rsidR="00A52AFE">
        <w:trPr>
          <w:trHeight w:val="283"/>
          <w:jc w:val="center"/>
        </w:trPr>
        <w:tc>
          <w:tcPr>
            <w:tcW w:w="9288" w:type="dxa"/>
            <w:gridSpan w:val="4"/>
            <w:tcBorders>
              <w:tl2br w:val="nil"/>
              <w:tr2bl w:val="nil"/>
            </w:tcBorders>
            <w:shd w:val="clear" w:color="auto" w:fill="auto"/>
            <w:vAlign w:val="center"/>
          </w:tcPr>
          <w:p w:rsidR="00A52AFE" w:rsidRDefault="008D5D6E">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w:t>
            </w:r>
            <w:r>
              <w:rPr>
                <w:rFonts w:ascii="宋体" w:eastAsia="宋体" w:hAnsi="宋体" w:cs="宋体" w:hint="eastAsia"/>
                <w:kern w:val="0"/>
                <w:szCs w:val="21"/>
              </w:rPr>
              <w:t>2025.</w:t>
            </w:r>
            <w:r>
              <w:rPr>
                <w:rFonts w:ascii="宋体" w:eastAsia="宋体" w:hAnsi="宋体" w:cs="宋体" w:hint="eastAsia"/>
                <w:kern w:val="0"/>
                <w:szCs w:val="21"/>
              </w:rPr>
              <w:t>05.07</w:t>
            </w:r>
          </w:p>
        </w:tc>
      </w:tr>
      <w:tr w:rsidR="00A52AFE">
        <w:trPr>
          <w:trHeight w:val="283"/>
          <w:jc w:val="center"/>
        </w:trPr>
        <w:tc>
          <w:tcPr>
            <w:tcW w:w="9288" w:type="dxa"/>
            <w:gridSpan w:val="4"/>
            <w:tcBorders>
              <w:tl2br w:val="nil"/>
              <w:tr2bl w:val="nil"/>
            </w:tcBorders>
            <w:shd w:val="clear" w:color="auto" w:fill="auto"/>
            <w:vAlign w:val="center"/>
          </w:tcPr>
          <w:p w:rsidR="00A52AFE" w:rsidRDefault="008D5D6E">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A52AFE" w:rsidRDefault="008D5D6E">
      <w:pPr>
        <w:rPr>
          <w:rFonts w:ascii="宋体" w:eastAsia="宋体" w:hAnsi="宋体" w:cs="宋体"/>
          <w:kern w:val="0"/>
          <w:sz w:val="24"/>
        </w:rPr>
      </w:pPr>
      <w:r>
        <w:rPr>
          <w:rFonts w:ascii="宋体" w:eastAsia="宋体" w:hAnsi="宋体" w:cs="宋体" w:hint="eastAsia"/>
          <w:kern w:val="0"/>
          <w:sz w:val="24"/>
        </w:rPr>
        <w:br w:type="page"/>
      </w:r>
    </w:p>
    <w:p w:rsidR="00A52AFE" w:rsidRDefault="008D5D6E">
      <w:pPr>
        <w:pStyle w:val="a4"/>
        <w:spacing w:line="240" w:lineRule="auto"/>
        <w:ind w:firstLine="480"/>
        <w:rPr>
          <w:rFonts w:eastAsia="宋体" w:cs="宋体"/>
          <w:color w:val="auto"/>
        </w:rPr>
      </w:pPr>
      <w:r>
        <w:rPr>
          <w:rFonts w:eastAsia="宋体" w:cs="宋体" w:hint="eastAsia"/>
          <w:noProof/>
          <w:color w:val="auto"/>
        </w:rPr>
        <w:lastRenderedPageBreak/>
        <w:drawing>
          <wp:inline distT="0" distB="0" distL="114300" distR="114300">
            <wp:extent cx="5750560" cy="8131810"/>
            <wp:effectExtent l="0" t="0" r="2540" b="2540"/>
            <wp:docPr id="11" name="图片 11" descr="扫描全能王 ⁨2025-6-20 15.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6-20 15.17⁩_1"/>
                    <pic:cNvPicPr>
                      <a:picLocks noChangeAspect="1"/>
                    </pic:cNvPicPr>
                  </pic:nvPicPr>
                  <pic:blipFill>
                    <a:blip r:embed="rId4"/>
                    <a:stretch>
                      <a:fillRect/>
                    </a:stretch>
                  </pic:blipFill>
                  <pic:spPr>
                    <a:xfrm>
                      <a:off x="0" y="0"/>
                      <a:ext cx="5750560" cy="8131810"/>
                    </a:xfrm>
                    <a:prstGeom prst="rect">
                      <a:avLst/>
                    </a:prstGeom>
                  </pic:spPr>
                </pic:pic>
              </a:graphicData>
            </a:graphic>
          </wp:inline>
        </w:drawing>
      </w:r>
      <w:r>
        <w:rPr>
          <w:rFonts w:eastAsia="宋体" w:cs="宋体" w:hint="eastAsia"/>
          <w:noProof/>
          <w:color w:val="auto"/>
        </w:rPr>
        <w:lastRenderedPageBreak/>
        <w:drawing>
          <wp:inline distT="0" distB="0" distL="114300" distR="114300">
            <wp:extent cx="5753100" cy="8498205"/>
            <wp:effectExtent l="0" t="0" r="0" b="17145"/>
            <wp:docPr id="10" name="图片 10" descr="扫描全能王 ⁨2025-6-20 15.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6-20 15.17⁩_2"/>
                    <pic:cNvPicPr>
                      <a:picLocks noChangeAspect="1"/>
                    </pic:cNvPicPr>
                  </pic:nvPicPr>
                  <pic:blipFill>
                    <a:blip r:embed="rId5"/>
                    <a:stretch>
                      <a:fillRect/>
                    </a:stretch>
                  </pic:blipFill>
                  <pic:spPr>
                    <a:xfrm>
                      <a:off x="0" y="0"/>
                      <a:ext cx="5753100" cy="8498205"/>
                    </a:xfrm>
                    <a:prstGeom prst="rect">
                      <a:avLst/>
                    </a:prstGeom>
                  </pic:spPr>
                </pic:pic>
              </a:graphicData>
            </a:graphic>
          </wp:inline>
        </w:drawing>
      </w:r>
      <w:r>
        <w:rPr>
          <w:rFonts w:eastAsia="宋体" w:cs="宋体" w:hint="eastAsia"/>
          <w:noProof/>
          <w:color w:val="auto"/>
        </w:rPr>
        <w:lastRenderedPageBreak/>
        <w:drawing>
          <wp:inline distT="0" distB="0" distL="114300" distR="114300">
            <wp:extent cx="5756910" cy="8488045"/>
            <wp:effectExtent l="0" t="0" r="15240" b="8255"/>
            <wp:docPr id="9" name="图片 9" descr="扫描全能王 ⁨2025-6-20 15.1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6-20 15.17⁩_3"/>
                    <pic:cNvPicPr>
                      <a:picLocks noChangeAspect="1"/>
                    </pic:cNvPicPr>
                  </pic:nvPicPr>
                  <pic:blipFill>
                    <a:blip r:embed="rId6"/>
                    <a:stretch>
                      <a:fillRect/>
                    </a:stretch>
                  </pic:blipFill>
                  <pic:spPr>
                    <a:xfrm>
                      <a:off x="0" y="0"/>
                      <a:ext cx="5756910" cy="8488045"/>
                    </a:xfrm>
                    <a:prstGeom prst="rect">
                      <a:avLst/>
                    </a:prstGeom>
                  </pic:spPr>
                </pic:pic>
              </a:graphicData>
            </a:graphic>
          </wp:inline>
        </w:drawing>
      </w:r>
    </w:p>
    <w:p w:rsidR="00A52AFE" w:rsidRDefault="00A52AFE">
      <w:pPr>
        <w:rPr>
          <w:rFonts w:ascii="宋体" w:eastAsia="宋体" w:hAnsi="宋体" w:cs="宋体"/>
          <w:kern w:val="0"/>
          <w:sz w:val="24"/>
        </w:rPr>
      </w:pPr>
    </w:p>
    <w:p w:rsidR="00A52AFE" w:rsidRDefault="008D5D6E">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中国石油天然气股份有限公司山东泰安销售分公司上高华侨城加油站</w:t>
      </w:r>
      <w:r>
        <w:rPr>
          <w:rFonts w:ascii="宋体" w:eastAsia="宋体" w:hAnsi="宋体" w:cs="宋体" w:hint="eastAsia"/>
          <w:kern w:val="0"/>
          <w:sz w:val="24"/>
        </w:rPr>
        <w:t>安全现状评价现场照片</w:t>
      </w:r>
    </w:p>
    <w:p w:rsidR="00A52AFE" w:rsidRDefault="008D5D6E">
      <w:pPr>
        <w:pStyle w:val="a4"/>
        <w:widowControl w:val="0"/>
        <w:adjustRightInd w:val="0"/>
        <w:snapToGrid w:val="0"/>
        <w:spacing w:line="240" w:lineRule="auto"/>
        <w:ind w:firstLineChars="0" w:firstLine="0"/>
        <w:sectPr w:rsidR="00A52AFE">
          <w:pgSz w:w="11906" w:h="16838"/>
          <w:pgMar w:top="1417" w:right="1417" w:bottom="1417" w:left="1417" w:header="851" w:footer="992" w:gutter="0"/>
          <w:cols w:space="425"/>
          <w:docGrid w:type="lines" w:linePitch="312"/>
        </w:sectPr>
      </w:pPr>
      <w:r>
        <w:rPr>
          <w:rFonts w:hint="eastAsia"/>
          <w:noProof/>
        </w:rPr>
        <w:drawing>
          <wp:inline distT="0" distB="0" distL="114300" distR="114300">
            <wp:extent cx="5484495" cy="4113530"/>
            <wp:effectExtent l="0" t="0" r="1905" b="1270"/>
            <wp:docPr id="13" name="图片 13" descr="IMG_20250428_1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428_143213"/>
                    <pic:cNvPicPr>
                      <a:picLocks noChangeAspect="1"/>
                    </pic:cNvPicPr>
                  </pic:nvPicPr>
                  <pic:blipFill>
                    <a:blip r:embed="rId7"/>
                    <a:stretch>
                      <a:fillRect/>
                    </a:stretch>
                  </pic:blipFill>
                  <pic:spPr>
                    <a:xfrm>
                      <a:off x="0" y="0"/>
                      <a:ext cx="5484495" cy="4113530"/>
                    </a:xfrm>
                    <a:prstGeom prst="rect">
                      <a:avLst/>
                    </a:prstGeom>
                  </pic:spPr>
                </pic:pic>
              </a:graphicData>
            </a:graphic>
          </wp:inline>
        </w:drawing>
      </w:r>
      <w:r>
        <w:rPr>
          <w:rFonts w:hint="eastAsia"/>
          <w:noProof/>
        </w:rPr>
        <w:drawing>
          <wp:inline distT="0" distB="0" distL="114300" distR="114300">
            <wp:extent cx="5512435" cy="4134485"/>
            <wp:effectExtent l="0" t="0" r="12065" b="18415"/>
            <wp:docPr id="12" name="图片 12" descr="IMG_20250428_1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428_143056"/>
                    <pic:cNvPicPr>
                      <a:picLocks noChangeAspect="1"/>
                    </pic:cNvPicPr>
                  </pic:nvPicPr>
                  <pic:blipFill>
                    <a:blip r:embed="rId8"/>
                    <a:stretch>
                      <a:fillRect/>
                    </a:stretch>
                  </pic:blipFill>
                  <pic:spPr>
                    <a:xfrm>
                      <a:off x="0" y="0"/>
                      <a:ext cx="5512435" cy="4134485"/>
                    </a:xfrm>
                    <a:prstGeom prst="rect">
                      <a:avLst/>
                    </a:prstGeom>
                  </pic:spPr>
                </pic:pic>
              </a:graphicData>
            </a:graphic>
          </wp:inline>
        </w:drawing>
      </w:r>
    </w:p>
    <w:p w:rsidR="00A52AFE" w:rsidRDefault="008D5D6E">
      <w:pPr>
        <w:pStyle w:val="1"/>
        <w:widowControl w:val="0"/>
        <w:adjustRightInd w:val="0"/>
        <w:snapToGrid w:val="0"/>
        <w:spacing w:beforeLines="150" w:before="468" w:afterLines="50" w:after="156" w:line="360" w:lineRule="auto"/>
      </w:pPr>
      <w:r>
        <w:lastRenderedPageBreak/>
        <w:t>第二章</w:t>
      </w:r>
      <w:r>
        <w:t xml:space="preserve"> </w:t>
      </w:r>
      <w:r>
        <w:t>加油站概况</w:t>
      </w:r>
    </w:p>
    <w:p w:rsidR="00A52AFE" w:rsidRDefault="008D5D6E">
      <w:pPr>
        <w:adjustRightInd w:val="0"/>
        <w:snapToGrid w:val="0"/>
        <w:spacing w:line="360" w:lineRule="auto"/>
        <w:jc w:val="center"/>
        <w:outlineLvl w:val="1"/>
        <w:rPr>
          <w:rFonts w:ascii="Calibri" w:eastAsia="楷体_GB2312" w:hAnsi="Calibri"/>
          <w:b/>
          <w:kern w:val="0"/>
          <w:sz w:val="32"/>
          <w:szCs w:val="20"/>
        </w:rPr>
      </w:pPr>
      <w:bookmarkStart w:id="1" w:name="_Toc26504"/>
      <w:bookmarkStart w:id="2" w:name="_Toc102633896"/>
      <w:bookmarkStart w:id="3" w:name="_Toc208733856"/>
      <w:bookmarkStart w:id="4" w:name="_Toc30066"/>
      <w:bookmarkStart w:id="5" w:name="_Toc15033743"/>
      <w:bookmarkStart w:id="6" w:name="_Toc102634227"/>
      <w:bookmarkStart w:id="7" w:name="_Toc102634396"/>
      <w:bookmarkStart w:id="8" w:name="_Toc102633970"/>
      <w:bookmarkStart w:id="9"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1"/>
      <w:bookmarkEnd w:id="2"/>
      <w:bookmarkEnd w:id="3"/>
      <w:bookmarkEnd w:id="4"/>
      <w:bookmarkEnd w:id="5"/>
      <w:bookmarkEnd w:id="6"/>
      <w:bookmarkEnd w:id="7"/>
      <w:bookmarkEnd w:id="8"/>
      <w:bookmarkEnd w:id="9"/>
    </w:p>
    <w:p w:rsidR="00A52AFE" w:rsidRDefault="008D5D6E">
      <w:pPr>
        <w:pStyle w:val="6"/>
        <w:widowControl w:val="0"/>
        <w:adjustRightInd w:val="0"/>
        <w:snapToGrid w:val="0"/>
        <w:spacing w:line="360" w:lineRule="auto"/>
        <w:ind w:firstLine="560"/>
        <w:rPr>
          <w:rFonts w:ascii="宋体" w:hAnsi="宋体"/>
          <w:szCs w:val="28"/>
        </w:rPr>
      </w:pPr>
      <w:r>
        <w:rPr>
          <w:rFonts w:ascii="宋体" w:hAnsi="宋体" w:hint="eastAsia"/>
          <w:szCs w:val="28"/>
        </w:rPr>
        <w:t>中国石油天然气股份有限公司山东泰安销售分公司上高华侨城加油站</w:t>
      </w:r>
      <w:r>
        <w:rPr>
          <w:rFonts w:ascii="宋体" w:hAnsi="宋体" w:hint="eastAsia"/>
          <w:szCs w:val="28"/>
        </w:rPr>
        <w:t>位于</w:t>
      </w:r>
      <w:r>
        <w:rPr>
          <w:rFonts w:ascii="宋体" w:hAnsi="宋体" w:hint="eastAsia"/>
          <w:szCs w:val="28"/>
        </w:rPr>
        <w:t>泰安市泰山区郭家灌庄光明机械厂</w:t>
      </w:r>
      <w:proofErr w:type="gramStart"/>
      <w:r>
        <w:rPr>
          <w:rFonts w:ascii="宋体" w:hAnsi="宋体" w:hint="eastAsia"/>
          <w:szCs w:val="28"/>
        </w:rPr>
        <w:t>西邻泰新路</w:t>
      </w:r>
      <w:proofErr w:type="gramEnd"/>
      <w:r>
        <w:rPr>
          <w:rFonts w:ascii="宋体" w:hAnsi="宋体" w:hint="eastAsia"/>
          <w:szCs w:val="28"/>
        </w:rPr>
        <w:t>南侧</w:t>
      </w:r>
      <w:r>
        <w:rPr>
          <w:rFonts w:ascii="宋体" w:hAnsi="宋体" w:hint="eastAsia"/>
          <w:szCs w:val="28"/>
        </w:rPr>
        <w:t>，该站</w:t>
      </w:r>
      <w:r>
        <w:rPr>
          <w:rFonts w:ascii="宋体" w:hAnsi="宋体" w:hint="eastAsia"/>
          <w:szCs w:val="28"/>
        </w:rPr>
        <w:t>西侧是汽车修理厂，南侧是闲置厂房，东侧是河道（河道东侧为民房），北侧是灵山大街</w:t>
      </w:r>
      <w:r>
        <w:rPr>
          <w:rFonts w:ascii="宋体" w:hAnsi="宋体" w:hint="eastAsia"/>
          <w:szCs w:val="28"/>
        </w:rPr>
        <w:t>。该站经营许可范围为汽油、乙醇汽油、柴油，现其主要储存经营汽油、乙醇汽油</w:t>
      </w:r>
      <w:r>
        <w:rPr>
          <w:rFonts w:ascii="宋体" w:hAnsi="宋体" w:hint="eastAsia"/>
          <w:szCs w:val="28"/>
        </w:rPr>
        <w:t>，</w:t>
      </w:r>
      <w:r>
        <w:rPr>
          <w:rFonts w:ascii="宋体" w:hAnsi="宋体" w:hint="eastAsia"/>
          <w:szCs w:val="28"/>
        </w:rPr>
        <w:t>暂不储存经营柴油</w:t>
      </w:r>
      <w:r>
        <w:rPr>
          <w:rFonts w:ascii="宋体" w:hAnsi="宋体" w:hint="eastAsia"/>
          <w:szCs w:val="28"/>
        </w:rPr>
        <w:t>。此次现状评价报告与</w:t>
      </w:r>
      <w:proofErr w:type="gramStart"/>
      <w:r>
        <w:rPr>
          <w:rFonts w:ascii="宋体" w:hAnsi="宋体" w:hint="eastAsia"/>
          <w:szCs w:val="28"/>
        </w:rPr>
        <w:t>上次报告</w:t>
      </w:r>
      <w:proofErr w:type="gramEnd"/>
      <w:r>
        <w:rPr>
          <w:rFonts w:ascii="宋体" w:hAnsi="宋体" w:hint="eastAsia"/>
          <w:szCs w:val="28"/>
        </w:rPr>
        <w:t>相比，该站卸油作业区新增人体静电释放仪，加油区增设</w:t>
      </w:r>
      <w:r>
        <w:rPr>
          <w:rFonts w:ascii="宋体" w:hAnsi="宋体" w:hint="eastAsia"/>
          <w:szCs w:val="28"/>
        </w:rPr>
        <w:t>4</w:t>
      </w:r>
      <w:r>
        <w:rPr>
          <w:rFonts w:ascii="宋体" w:hAnsi="宋体" w:hint="eastAsia"/>
          <w:szCs w:val="28"/>
        </w:rPr>
        <w:t>台可</w:t>
      </w:r>
      <w:r>
        <w:rPr>
          <w:rFonts w:ascii="宋体" w:hAnsi="宋体" w:hint="eastAsia"/>
          <w:szCs w:val="28"/>
        </w:rPr>
        <w:t>燃气体探测器</w:t>
      </w:r>
      <w:r>
        <w:rPr>
          <w:rFonts w:ascii="宋体" w:hAnsi="宋体" w:hint="eastAsia"/>
          <w:szCs w:val="28"/>
        </w:rPr>
        <w:t>（</w:t>
      </w:r>
      <w:r>
        <w:rPr>
          <w:rFonts w:ascii="宋体" w:hAnsi="宋体" w:hint="eastAsia"/>
          <w:szCs w:val="28"/>
        </w:rPr>
        <w:t>站房内增设可燃气体报警控制器</w:t>
      </w:r>
      <w:r>
        <w:rPr>
          <w:rFonts w:ascii="宋体" w:hAnsi="宋体" w:hint="eastAsia"/>
          <w:szCs w:val="28"/>
        </w:rPr>
        <w:t>），</w:t>
      </w:r>
      <w:r>
        <w:rPr>
          <w:rFonts w:ascii="宋体" w:hAnsi="宋体" w:hint="eastAsia"/>
          <w:szCs w:val="28"/>
        </w:rPr>
        <w:t>更换</w:t>
      </w:r>
      <w:r>
        <w:rPr>
          <w:rFonts w:ascii="宋体" w:hAnsi="宋体" w:hint="eastAsia"/>
          <w:szCs w:val="28"/>
        </w:rPr>
        <w:t>4</w:t>
      </w:r>
      <w:r>
        <w:rPr>
          <w:rFonts w:ascii="宋体" w:hAnsi="宋体" w:hint="eastAsia"/>
          <w:szCs w:val="28"/>
        </w:rPr>
        <w:t>台加油机（枪数、油品未发生改变），站区西侧原为闲置厂房现为汽车修理厂</w:t>
      </w:r>
      <w:r>
        <w:rPr>
          <w:rFonts w:ascii="宋体" w:hAnsi="宋体" w:hint="eastAsia"/>
          <w:szCs w:val="28"/>
        </w:rPr>
        <w:t>，其余周边环境、站内设备设施、主要建构筑物均未发生变化。</w:t>
      </w:r>
    </w:p>
    <w:p w:rsidR="00A52AFE" w:rsidRDefault="008D5D6E">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w:t>
      </w:r>
      <w:r>
        <w:rPr>
          <w:rFonts w:ascii="宋体" w:hAnsi="宋体" w:hint="eastAsia"/>
          <w:szCs w:val="28"/>
        </w:rPr>
        <w:t>油区等。站房在站区</w:t>
      </w:r>
      <w:r>
        <w:rPr>
          <w:rFonts w:ascii="宋体" w:hAnsi="宋体" w:hint="eastAsia"/>
          <w:szCs w:val="28"/>
        </w:rPr>
        <w:t>南</w:t>
      </w:r>
      <w:r>
        <w:rPr>
          <w:rFonts w:ascii="宋体" w:hAnsi="宋体" w:hint="eastAsia"/>
          <w:szCs w:val="28"/>
        </w:rPr>
        <w:t>部，加油区在站房</w:t>
      </w:r>
      <w:r>
        <w:rPr>
          <w:rFonts w:ascii="宋体" w:hAnsi="宋体" w:hint="eastAsia"/>
          <w:szCs w:val="28"/>
        </w:rPr>
        <w:t>北</w:t>
      </w:r>
      <w:r>
        <w:rPr>
          <w:rFonts w:ascii="宋体" w:hAnsi="宋体" w:hint="eastAsia"/>
          <w:szCs w:val="28"/>
        </w:rPr>
        <w:t>侧，现有</w:t>
      </w:r>
      <w:r>
        <w:rPr>
          <w:rFonts w:ascii="宋体" w:hAnsi="宋体" w:hint="eastAsia"/>
          <w:szCs w:val="28"/>
        </w:rPr>
        <w:t>4</w:t>
      </w:r>
      <w:r>
        <w:rPr>
          <w:rFonts w:ascii="宋体" w:hAnsi="宋体" w:hint="eastAsia"/>
          <w:szCs w:val="28"/>
        </w:rPr>
        <w:t>台四枪加油机：其中</w:t>
      </w:r>
      <w:r>
        <w:rPr>
          <w:rFonts w:ascii="宋体" w:hAnsi="宋体" w:hint="eastAsia"/>
          <w:szCs w:val="28"/>
        </w:rPr>
        <w:t>1</w:t>
      </w:r>
      <w:r>
        <w:rPr>
          <w:rFonts w:ascii="宋体" w:hAnsi="宋体" w:hint="eastAsia"/>
          <w:szCs w:val="28"/>
        </w:rPr>
        <w:t>台</w:t>
      </w:r>
      <w:r>
        <w:rPr>
          <w:rFonts w:ascii="宋体" w:hAnsi="宋体" w:hint="eastAsia"/>
          <w:szCs w:val="28"/>
        </w:rPr>
        <w:t>92#</w:t>
      </w:r>
      <w:r>
        <w:rPr>
          <w:rFonts w:ascii="宋体" w:hAnsi="宋体" w:hint="eastAsia"/>
          <w:szCs w:val="28"/>
        </w:rPr>
        <w:t>乙醇汽油四枪加油机、</w:t>
      </w:r>
      <w:r>
        <w:rPr>
          <w:rFonts w:ascii="宋体" w:hAnsi="宋体" w:hint="eastAsia"/>
          <w:szCs w:val="28"/>
        </w:rPr>
        <w:t>1</w:t>
      </w:r>
      <w:r>
        <w:rPr>
          <w:rFonts w:ascii="宋体" w:hAnsi="宋体" w:hint="eastAsia"/>
          <w:szCs w:val="28"/>
        </w:rPr>
        <w:t>台</w:t>
      </w:r>
      <w:r>
        <w:rPr>
          <w:rFonts w:ascii="宋体" w:hAnsi="宋体" w:hint="eastAsia"/>
          <w:szCs w:val="28"/>
        </w:rPr>
        <w:t>92#</w:t>
      </w:r>
      <w:r>
        <w:rPr>
          <w:rFonts w:ascii="宋体" w:hAnsi="宋体" w:hint="eastAsia"/>
          <w:szCs w:val="28"/>
        </w:rPr>
        <w:t>乙醇汽油</w:t>
      </w:r>
      <w:r>
        <w:rPr>
          <w:rFonts w:ascii="宋体" w:hAnsi="宋体" w:hint="eastAsia"/>
          <w:szCs w:val="28"/>
        </w:rPr>
        <w:t>/95#</w:t>
      </w:r>
      <w:r>
        <w:rPr>
          <w:rFonts w:ascii="宋体" w:hAnsi="宋体" w:hint="eastAsia"/>
          <w:szCs w:val="28"/>
        </w:rPr>
        <w:t>汽油四枪加油机、</w:t>
      </w:r>
      <w:r>
        <w:rPr>
          <w:rFonts w:ascii="宋体" w:hAnsi="宋体" w:hint="eastAsia"/>
          <w:szCs w:val="28"/>
        </w:rPr>
        <w:t>2</w:t>
      </w:r>
      <w:r>
        <w:rPr>
          <w:rFonts w:ascii="宋体" w:hAnsi="宋体" w:hint="eastAsia"/>
          <w:szCs w:val="28"/>
        </w:rPr>
        <w:t>台</w:t>
      </w:r>
      <w:r>
        <w:rPr>
          <w:rFonts w:ascii="宋体" w:hAnsi="宋体" w:hint="eastAsia"/>
          <w:szCs w:val="28"/>
        </w:rPr>
        <w:t>95#</w:t>
      </w:r>
      <w:r>
        <w:rPr>
          <w:rFonts w:ascii="宋体" w:hAnsi="宋体" w:hint="eastAsia"/>
          <w:szCs w:val="28"/>
        </w:rPr>
        <w:t>汽油</w:t>
      </w:r>
      <w:r>
        <w:rPr>
          <w:rFonts w:ascii="宋体" w:hAnsi="宋体" w:hint="eastAsia"/>
          <w:szCs w:val="28"/>
        </w:rPr>
        <w:t>/98#</w:t>
      </w:r>
      <w:r>
        <w:rPr>
          <w:rFonts w:ascii="宋体" w:hAnsi="宋体" w:hint="eastAsia"/>
          <w:szCs w:val="28"/>
        </w:rPr>
        <w:t>汽油四枪加油机，均为潜油泵式</w:t>
      </w:r>
      <w:r>
        <w:rPr>
          <w:rFonts w:ascii="宋体" w:hAnsi="宋体" w:hint="eastAsia"/>
          <w:szCs w:val="28"/>
        </w:rPr>
        <w:t>；油罐区布置在站房</w:t>
      </w:r>
      <w:r>
        <w:rPr>
          <w:rFonts w:ascii="宋体" w:hAnsi="宋体" w:hint="eastAsia"/>
          <w:szCs w:val="28"/>
        </w:rPr>
        <w:t>东</w:t>
      </w:r>
      <w:r>
        <w:rPr>
          <w:rFonts w:ascii="宋体" w:hAnsi="宋体" w:hint="eastAsia"/>
          <w:szCs w:val="28"/>
        </w:rPr>
        <w:t>侧（布置在车行道下、承重罐区），自北向南分别为：</w:t>
      </w:r>
      <w:r>
        <w:rPr>
          <w:rFonts w:ascii="宋体" w:hAnsi="宋体" w:hint="eastAsia"/>
          <w:szCs w:val="28"/>
        </w:rPr>
        <w:t>2</w:t>
      </w:r>
      <w:r>
        <w:rPr>
          <w:rFonts w:ascii="宋体" w:hAnsi="宋体" w:hint="eastAsia"/>
          <w:szCs w:val="28"/>
        </w:rPr>
        <w:t>台</w:t>
      </w:r>
      <w:r>
        <w:rPr>
          <w:rFonts w:ascii="宋体" w:hAnsi="宋体" w:hint="eastAsia"/>
          <w:szCs w:val="28"/>
        </w:rPr>
        <w:t>30m</w:t>
      </w:r>
      <w:r>
        <w:rPr>
          <w:rFonts w:ascii="宋体" w:hAnsi="宋体" w:hint="eastAsia"/>
          <w:szCs w:val="28"/>
        </w:rPr>
        <w:t>³</w:t>
      </w:r>
      <w:r>
        <w:rPr>
          <w:rFonts w:ascii="宋体" w:hAnsi="宋体" w:hint="eastAsia"/>
          <w:szCs w:val="28"/>
        </w:rPr>
        <w:t>92#</w:t>
      </w:r>
      <w:r>
        <w:rPr>
          <w:rFonts w:ascii="宋体" w:hAnsi="宋体" w:hint="eastAsia"/>
          <w:szCs w:val="28"/>
        </w:rPr>
        <w:t>乙醇汽油</w:t>
      </w:r>
      <w:r>
        <w:rPr>
          <w:rFonts w:ascii="宋体" w:hAnsi="宋体" w:hint="eastAsia"/>
          <w:szCs w:val="28"/>
        </w:rPr>
        <w:t>罐、</w:t>
      </w:r>
      <w:r>
        <w:rPr>
          <w:rFonts w:ascii="宋体" w:hAnsi="宋体" w:hint="eastAsia"/>
          <w:szCs w:val="28"/>
        </w:rPr>
        <w:t>1</w:t>
      </w:r>
      <w:r>
        <w:rPr>
          <w:rFonts w:ascii="宋体" w:hAnsi="宋体" w:hint="eastAsia"/>
          <w:szCs w:val="28"/>
        </w:rPr>
        <w:t>台</w:t>
      </w:r>
      <w:r>
        <w:rPr>
          <w:rFonts w:ascii="宋体" w:hAnsi="宋体" w:hint="eastAsia"/>
          <w:szCs w:val="28"/>
        </w:rPr>
        <w:t>30m</w:t>
      </w:r>
      <w:r>
        <w:rPr>
          <w:rFonts w:ascii="宋体" w:hAnsi="宋体" w:hint="eastAsia"/>
          <w:szCs w:val="28"/>
        </w:rPr>
        <w:t>³</w:t>
      </w:r>
      <w:r>
        <w:rPr>
          <w:rFonts w:ascii="宋体" w:hAnsi="宋体" w:hint="eastAsia"/>
          <w:szCs w:val="28"/>
        </w:rPr>
        <w:t>95#</w:t>
      </w:r>
      <w:r>
        <w:rPr>
          <w:rFonts w:ascii="宋体" w:hAnsi="宋体" w:hint="eastAsia"/>
          <w:szCs w:val="28"/>
        </w:rPr>
        <w:t>汽油罐、</w:t>
      </w:r>
      <w:r>
        <w:rPr>
          <w:rFonts w:ascii="宋体" w:hAnsi="宋体" w:hint="eastAsia"/>
          <w:szCs w:val="28"/>
        </w:rPr>
        <w:t>1</w:t>
      </w:r>
      <w:r>
        <w:rPr>
          <w:rFonts w:ascii="宋体" w:hAnsi="宋体" w:hint="eastAsia"/>
          <w:szCs w:val="28"/>
        </w:rPr>
        <w:t>台</w:t>
      </w:r>
      <w:r>
        <w:rPr>
          <w:rFonts w:ascii="宋体" w:hAnsi="宋体" w:hint="eastAsia"/>
          <w:szCs w:val="28"/>
        </w:rPr>
        <w:t>30m</w:t>
      </w:r>
      <w:r>
        <w:rPr>
          <w:rFonts w:ascii="宋体" w:hAnsi="宋体" w:hint="eastAsia"/>
          <w:szCs w:val="28"/>
        </w:rPr>
        <w:t>³</w:t>
      </w:r>
      <w:r>
        <w:rPr>
          <w:rFonts w:ascii="宋体" w:hAnsi="宋体" w:hint="eastAsia"/>
          <w:szCs w:val="28"/>
        </w:rPr>
        <w:t>9</w:t>
      </w:r>
      <w:r>
        <w:rPr>
          <w:rFonts w:ascii="宋体" w:hAnsi="宋体" w:hint="eastAsia"/>
          <w:szCs w:val="28"/>
        </w:rPr>
        <w:t>8</w:t>
      </w:r>
      <w:r>
        <w:rPr>
          <w:rFonts w:ascii="宋体" w:hAnsi="宋体" w:hint="eastAsia"/>
          <w:szCs w:val="28"/>
        </w:rPr>
        <w:t>#</w:t>
      </w:r>
      <w:r>
        <w:rPr>
          <w:rFonts w:ascii="宋体" w:hAnsi="宋体" w:hint="eastAsia"/>
          <w:szCs w:val="28"/>
        </w:rPr>
        <w:t>汽油罐，汽油（乙醇汽油）卸油口位于罐区</w:t>
      </w:r>
      <w:r>
        <w:rPr>
          <w:rFonts w:ascii="宋体" w:hAnsi="宋体" w:hint="eastAsia"/>
          <w:szCs w:val="28"/>
        </w:rPr>
        <w:t>东</w:t>
      </w:r>
      <w:r>
        <w:rPr>
          <w:rFonts w:ascii="宋体" w:hAnsi="宋体" w:hint="eastAsia"/>
          <w:szCs w:val="28"/>
        </w:rPr>
        <w:t>北侧，</w:t>
      </w:r>
      <w:r>
        <w:rPr>
          <w:rFonts w:ascii="宋体" w:hAnsi="宋体" w:hint="eastAsia"/>
          <w:szCs w:val="28"/>
        </w:rPr>
        <w:t>卸油口南侧</w:t>
      </w:r>
      <w:r>
        <w:rPr>
          <w:rFonts w:ascii="宋体" w:hAnsi="宋体" w:hint="eastAsia"/>
          <w:szCs w:val="28"/>
        </w:rPr>
        <w:t>共有通气管</w:t>
      </w:r>
      <w:r>
        <w:rPr>
          <w:rFonts w:ascii="宋体" w:hAnsi="宋体" w:hint="eastAsia"/>
          <w:szCs w:val="28"/>
        </w:rPr>
        <w:t>3</w:t>
      </w:r>
      <w:r>
        <w:rPr>
          <w:rFonts w:ascii="宋体" w:hAnsi="宋体" w:hint="eastAsia"/>
          <w:szCs w:val="28"/>
        </w:rPr>
        <w:t>根（含油气回收处理装置通气管）；按《汽车加油加气加氢站技术标准》</w:t>
      </w:r>
      <w:r>
        <w:rPr>
          <w:rFonts w:ascii="宋体" w:hAnsi="宋体" w:hint="eastAsia"/>
          <w:szCs w:val="28"/>
        </w:rPr>
        <w:t>GB50156-2021</w:t>
      </w:r>
      <w:r>
        <w:rPr>
          <w:rFonts w:ascii="宋体" w:hAnsi="宋体" w:hint="eastAsia"/>
          <w:szCs w:val="28"/>
        </w:rPr>
        <w:t>标准规定：</w:t>
      </w:r>
      <w:r>
        <w:rPr>
          <w:rFonts w:ascii="宋体" w:hAnsi="宋体" w:hint="eastAsia"/>
          <w:szCs w:val="28"/>
        </w:rPr>
        <w:t>V=</w:t>
      </w:r>
      <w:r>
        <w:rPr>
          <w:rFonts w:ascii="宋体" w:hAnsi="宋体" w:hint="eastAsia"/>
          <w:szCs w:val="28"/>
        </w:rPr>
        <w:t>120</w:t>
      </w:r>
      <w:r>
        <w:rPr>
          <w:rFonts w:ascii="宋体" w:hAnsi="宋体" w:hint="eastAsia"/>
          <w:szCs w:val="28"/>
        </w:rPr>
        <w:t>m</w:t>
      </w:r>
      <w:r>
        <w:rPr>
          <w:rFonts w:ascii="宋体" w:hAnsi="宋体" w:hint="eastAsia"/>
          <w:szCs w:val="28"/>
          <w:vertAlign w:val="superscript"/>
        </w:rPr>
        <w:t>3</w:t>
      </w:r>
      <w:r>
        <w:rPr>
          <w:rFonts w:ascii="宋体" w:hAnsi="宋体" w:hint="eastAsia"/>
          <w:szCs w:val="28"/>
        </w:rPr>
        <w:t>，</w:t>
      </w:r>
      <w:r>
        <w:rPr>
          <w:rFonts w:ascii="宋体" w:hAnsi="宋体" w:hint="eastAsia"/>
          <w:szCs w:val="28"/>
        </w:rPr>
        <w:t>该站属</w:t>
      </w:r>
      <w:r>
        <w:rPr>
          <w:rFonts w:ascii="宋体" w:hAnsi="宋体" w:hint="eastAsia"/>
          <w:szCs w:val="28"/>
        </w:rPr>
        <w:t>二</w:t>
      </w:r>
      <w:r>
        <w:rPr>
          <w:rFonts w:ascii="宋体" w:hAnsi="宋体" w:hint="eastAsia"/>
          <w:szCs w:val="28"/>
        </w:rPr>
        <w:t>级加油站；该站汽油（乙醇汽油）设有卸油油气回收系统、加油油气回收系统及油气回收处理装置</w:t>
      </w:r>
      <w:r>
        <w:rPr>
          <w:rFonts w:ascii="宋体" w:hAnsi="宋体" w:hint="eastAsia"/>
          <w:szCs w:val="28"/>
        </w:rPr>
        <w:t>（</w:t>
      </w:r>
      <w:r>
        <w:rPr>
          <w:rFonts w:ascii="宋体" w:hAnsi="宋体" w:hint="eastAsia"/>
          <w:szCs w:val="28"/>
        </w:rPr>
        <w:t>三次油气回收</w:t>
      </w:r>
      <w:r>
        <w:rPr>
          <w:rFonts w:ascii="宋体" w:hAnsi="宋体" w:hint="eastAsia"/>
          <w:szCs w:val="28"/>
        </w:rPr>
        <w:t>）</w:t>
      </w:r>
      <w:r>
        <w:rPr>
          <w:rFonts w:ascii="宋体" w:hint="eastAsia"/>
        </w:rPr>
        <w:t>。</w:t>
      </w:r>
    </w:p>
    <w:p w:rsidR="00A52AFE" w:rsidRDefault="008D5D6E">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A52AFE">
        <w:trPr>
          <w:trHeight w:val="397"/>
          <w:jc w:val="center"/>
        </w:trPr>
        <w:tc>
          <w:tcPr>
            <w:tcW w:w="1662" w:type="pct"/>
            <w:vMerge w:val="restart"/>
            <w:vAlign w:val="center"/>
          </w:tcPr>
          <w:p w:rsidR="00A52AFE" w:rsidRDefault="008D5D6E">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A52AFE" w:rsidRDefault="008D5D6E">
            <w:pPr>
              <w:pStyle w:val="50"/>
              <w:widowControl w:val="0"/>
              <w:adjustRightInd w:val="0"/>
              <w:snapToGrid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A52AFE">
        <w:trPr>
          <w:trHeight w:val="397"/>
          <w:jc w:val="center"/>
        </w:trPr>
        <w:tc>
          <w:tcPr>
            <w:tcW w:w="1662" w:type="pct"/>
            <w:vMerge/>
            <w:vAlign w:val="center"/>
          </w:tcPr>
          <w:p w:rsidR="00A52AFE" w:rsidRDefault="00A52AFE">
            <w:pPr>
              <w:pStyle w:val="50"/>
              <w:widowControl w:val="0"/>
              <w:adjustRightInd w:val="0"/>
              <w:snapToGrid w:val="0"/>
              <w:spacing w:line="360" w:lineRule="auto"/>
              <w:rPr>
                <w:rFonts w:ascii="宋体" w:hAnsi="宋体"/>
                <w:b/>
                <w:bCs/>
              </w:rPr>
            </w:pPr>
          </w:p>
        </w:tc>
        <w:tc>
          <w:tcPr>
            <w:tcW w:w="1667" w:type="pct"/>
            <w:vAlign w:val="center"/>
          </w:tcPr>
          <w:p w:rsidR="00A52AFE" w:rsidRDefault="008D5D6E">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A52AFE" w:rsidRDefault="008D5D6E">
            <w:pPr>
              <w:pStyle w:val="50"/>
              <w:widowControl w:val="0"/>
              <w:adjustRightInd w:val="0"/>
              <w:snapToGrid w:val="0"/>
              <w:spacing w:line="360" w:lineRule="auto"/>
              <w:rPr>
                <w:rFonts w:ascii="宋体" w:hAnsi="宋体"/>
                <w:b/>
                <w:bCs/>
              </w:rPr>
            </w:pPr>
            <w:r>
              <w:rPr>
                <w:rFonts w:ascii="宋体" w:hAnsi="宋体"/>
                <w:b/>
                <w:bCs/>
              </w:rPr>
              <w:t>单罐容积</w:t>
            </w:r>
          </w:p>
        </w:tc>
      </w:tr>
      <w:tr w:rsidR="00A52AFE">
        <w:trPr>
          <w:trHeight w:val="397"/>
          <w:jc w:val="center"/>
        </w:trPr>
        <w:tc>
          <w:tcPr>
            <w:tcW w:w="1662"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A52AFE" w:rsidRDefault="008D5D6E">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A52AFE">
        <w:trPr>
          <w:trHeight w:val="397"/>
          <w:jc w:val="center"/>
        </w:trPr>
        <w:tc>
          <w:tcPr>
            <w:tcW w:w="1662"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lastRenderedPageBreak/>
              <w:t>二级</w:t>
            </w:r>
          </w:p>
        </w:tc>
        <w:tc>
          <w:tcPr>
            <w:tcW w:w="1667"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A52AFE" w:rsidRDefault="008D5D6E">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A52AFE">
        <w:trPr>
          <w:trHeight w:val="397"/>
          <w:jc w:val="center"/>
        </w:trPr>
        <w:tc>
          <w:tcPr>
            <w:tcW w:w="1662"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A52AFE" w:rsidRDefault="008D5D6E">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A52AFE" w:rsidRDefault="008D5D6E">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A52AFE" w:rsidRDefault="008D5D6E">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A52AFE" w:rsidRDefault="008D5D6E">
      <w:pPr>
        <w:pStyle w:val="6"/>
        <w:widowControl w:val="0"/>
        <w:adjustRightInd w:val="0"/>
        <w:snapToGrid w:val="0"/>
        <w:spacing w:line="360" w:lineRule="auto"/>
        <w:ind w:firstLine="560"/>
        <w:rPr>
          <w:rFonts w:ascii="宋体"/>
        </w:rPr>
      </w:pPr>
      <w:r>
        <w:rPr>
          <w:rFonts w:ascii="宋体" w:hint="eastAsia"/>
        </w:rPr>
        <w:t>该站现有职工</w:t>
      </w:r>
      <w:r>
        <w:rPr>
          <w:rFonts w:ascii="宋体" w:hint="eastAsia"/>
        </w:rPr>
        <w:t>4</w:t>
      </w:r>
      <w:r>
        <w:rPr>
          <w:rFonts w:ascii="宋体" w:hint="eastAsia"/>
        </w:rPr>
        <w:t>人，其中主要负责人</w:t>
      </w:r>
      <w:r>
        <w:rPr>
          <w:rFonts w:ascii="宋体" w:hint="eastAsia"/>
        </w:rPr>
        <w:t>1</w:t>
      </w:r>
      <w:r>
        <w:rPr>
          <w:rFonts w:ascii="宋体" w:hint="eastAsia"/>
        </w:rPr>
        <w:t>人，安全生产管理人员</w:t>
      </w:r>
      <w:r>
        <w:rPr>
          <w:rFonts w:ascii="宋体" w:hint="eastAsia"/>
        </w:rPr>
        <w:t>1</w:t>
      </w:r>
      <w:r>
        <w:rPr>
          <w:rFonts w:ascii="宋体" w:hint="eastAsia"/>
        </w:rPr>
        <w:t>人。主要负责人和安全生产管理人员已参加了危险化学品安全管理培训，并取得考核合格证，详见附件。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w:t>
      </w:r>
      <w:r>
        <w:rPr>
          <w:rFonts w:ascii="宋体" w:hint="eastAsia"/>
          <w:color w:val="000000" w:themeColor="text1"/>
        </w:rPr>
        <w:t>13</w:t>
      </w:r>
      <w:r>
        <w:rPr>
          <w:rFonts w:ascii="宋体" w:hint="eastAsia"/>
          <w:color w:val="000000" w:themeColor="text1"/>
        </w:rPr>
        <w:t>年</w:t>
      </w:r>
      <w:r>
        <w:rPr>
          <w:rFonts w:ascii="宋体" w:hint="eastAsia"/>
          <w:color w:val="000000" w:themeColor="text1"/>
        </w:rPr>
        <w:t>0</w:t>
      </w:r>
      <w:r>
        <w:rPr>
          <w:rFonts w:ascii="宋体" w:hint="eastAsia"/>
          <w:color w:val="000000" w:themeColor="text1"/>
        </w:rPr>
        <w:t>7</w:t>
      </w:r>
      <w:r>
        <w:rPr>
          <w:rFonts w:ascii="宋体" w:hint="eastAsia"/>
          <w:color w:val="000000" w:themeColor="text1"/>
        </w:rPr>
        <w:t>月</w:t>
      </w:r>
      <w:r>
        <w:rPr>
          <w:rFonts w:ascii="宋体" w:hint="eastAsia"/>
          <w:color w:val="000000" w:themeColor="text1"/>
        </w:rPr>
        <w:t>2</w:t>
      </w:r>
      <w:r>
        <w:rPr>
          <w:rFonts w:ascii="宋体" w:hint="eastAsia"/>
          <w:color w:val="000000" w:themeColor="text1"/>
        </w:rPr>
        <w:t>3</w:t>
      </w:r>
      <w:r>
        <w:rPr>
          <w:rFonts w:ascii="宋体" w:hint="eastAsia"/>
          <w:color w:val="000000" w:themeColor="text1"/>
        </w:rPr>
        <w:t>日中国石油天然气股份有限公司山东销售分公司</w:t>
      </w:r>
      <w:r>
        <w:rPr>
          <w:rFonts w:ascii="宋体" w:hint="eastAsia"/>
          <w:color w:val="000000" w:themeColor="text1"/>
        </w:rPr>
        <w:t>与孙秀芹（土地所有人）签订了租赁合同</w:t>
      </w:r>
      <w:r>
        <w:rPr>
          <w:rFonts w:ascii="宋体" w:hint="eastAsia"/>
          <w:color w:val="000000" w:themeColor="text1"/>
        </w:rPr>
        <w:t>，</w:t>
      </w:r>
      <w:r>
        <w:rPr>
          <w:rFonts w:ascii="宋体" w:hint="eastAsia"/>
          <w:color w:val="000000" w:themeColor="text1"/>
        </w:rPr>
        <w:t>租赁期限</w:t>
      </w:r>
      <w:r>
        <w:rPr>
          <w:rFonts w:ascii="宋体" w:hint="eastAsia"/>
          <w:color w:val="000000" w:themeColor="text1"/>
        </w:rPr>
        <w:t>20</w:t>
      </w:r>
      <w:r>
        <w:rPr>
          <w:rFonts w:ascii="宋体" w:hint="eastAsia"/>
          <w:color w:val="000000" w:themeColor="text1"/>
        </w:rPr>
        <w:t>年</w:t>
      </w:r>
      <w:r>
        <w:rPr>
          <w:rFonts w:ascii="宋体" w:hint="eastAsia"/>
          <w:color w:val="000000" w:themeColor="text1"/>
        </w:rPr>
        <w:t>，详见附件。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加油站于</w:t>
      </w:r>
      <w:r>
        <w:rPr>
          <w:rFonts w:ascii="宋体" w:hint="eastAsia"/>
          <w:color w:val="000000" w:themeColor="text1"/>
        </w:rPr>
        <w:t>20</w:t>
      </w:r>
      <w:r>
        <w:rPr>
          <w:rFonts w:ascii="宋体" w:hint="eastAsia"/>
          <w:color w:val="000000" w:themeColor="text1"/>
        </w:rPr>
        <w:t>13</w:t>
      </w:r>
      <w:r>
        <w:rPr>
          <w:rFonts w:ascii="宋体" w:hint="eastAsia"/>
          <w:color w:val="000000" w:themeColor="text1"/>
        </w:rPr>
        <w:t>年</w:t>
      </w:r>
      <w:r>
        <w:rPr>
          <w:rFonts w:ascii="宋体" w:hint="eastAsia"/>
          <w:color w:val="000000" w:themeColor="text1"/>
        </w:rPr>
        <w:t>0</w:t>
      </w:r>
      <w:r>
        <w:rPr>
          <w:rFonts w:ascii="宋体" w:hint="eastAsia"/>
          <w:color w:val="000000" w:themeColor="text1"/>
        </w:rPr>
        <w:t>9</w:t>
      </w:r>
      <w:r>
        <w:rPr>
          <w:rFonts w:ascii="宋体" w:hint="eastAsia"/>
          <w:color w:val="000000" w:themeColor="text1"/>
        </w:rPr>
        <w:t>月</w:t>
      </w:r>
      <w:r>
        <w:rPr>
          <w:rFonts w:ascii="宋体" w:hint="eastAsia"/>
          <w:color w:val="000000" w:themeColor="text1"/>
        </w:rPr>
        <w:t>17</w:t>
      </w:r>
      <w:r>
        <w:rPr>
          <w:rFonts w:ascii="宋体" w:hint="eastAsia"/>
          <w:color w:val="000000" w:themeColor="text1"/>
        </w:rPr>
        <w:t>日取得了</w:t>
      </w:r>
      <w:r>
        <w:rPr>
          <w:rFonts w:ascii="宋体" w:hint="eastAsia"/>
          <w:color w:val="000000" w:themeColor="text1"/>
        </w:rPr>
        <w:t>泰安市公安消防支队</w:t>
      </w:r>
      <w:r>
        <w:rPr>
          <w:rFonts w:ascii="宋体" w:hint="eastAsia"/>
          <w:color w:val="000000" w:themeColor="text1"/>
        </w:rPr>
        <w:t>出具的《</w:t>
      </w:r>
      <w:r>
        <w:rPr>
          <w:rFonts w:ascii="宋体" w:hint="eastAsia"/>
          <w:color w:val="000000" w:themeColor="text1"/>
        </w:rPr>
        <w:t>建设</w:t>
      </w:r>
      <w:r>
        <w:rPr>
          <w:rFonts w:ascii="宋体" w:hint="eastAsia"/>
          <w:color w:val="000000" w:themeColor="text1"/>
        </w:rPr>
        <w:t>工程消防验收意见书》，编号：</w:t>
      </w:r>
      <w:proofErr w:type="gramStart"/>
      <w:r>
        <w:rPr>
          <w:rFonts w:ascii="宋体" w:hint="eastAsia"/>
          <w:color w:val="000000" w:themeColor="text1"/>
        </w:rPr>
        <w:t>泰</w:t>
      </w:r>
      <w:r>
        <w:rPr>
          <w:rFonts w:ascii="宋体" w:hint="eastAsia"/>
          <w:color w:val="000000" w:themeColor="text1"/>
        </w:rPr>
        <w:t>公消验</w:t>
      </w:r>
      <w:r>
        <w:rPr>
          <w:rFonts w:ascii="宋体" w:hint="eastAsia"/>
          <w:color w:val="000000" w:themeColor="text1"/>
        </w:rPr>
        <w:t>[</w:t>
      </w:r>
      <w:proofErr w:type="gramEnd"/>
      <w:r>
        <w:rPr>
          <w:rFonts w:ascii="宋体" w:hint="eastAsia"/>
          <w:color w:val="000000" w:themeColor="text1"/>
        </w:rPr>
        <w:t>20</w:t>
      </w:r>
      <w:r>
        <w:rPr>
          <w:rFonts w:ascii="宋体" w:hint="eastAsia"/>
          <w:color w:val="000000" w:themeColor="text1"/>
        </w:rPr>
        <w:t>13</w:t>
      </w:r>
      <w:r>
        <w:rPr>
          <w:rFonts w:ascii="宋体" w:hint="eastAsia"/>
          <w:color w:val="000000" w:themeColor="text1"/>
        </w:rPr>
        <w:t>]</w:t>
      </w:r>
      <w:r>
        <w:rPr>
          <w:rFonts w:ascii="宋体" w:hint="eastAsia"/>
          <w:color w:val="000000" w:themeColor="text1"/>
        </w:rPr>
        <w:t>第</w:t>
      </w:r>
      <w:r>
        <w:rPr>
          <w:rFonts w:ascii="宋体" w:hint="eastAsia"/>
          <w:color w:val="000000" w:themeColor="text1"/>
        </w:rPr>
        <w:t>0</w:t>
      </w:r>
      <w:r>
        <w:rPr>
          <w:rFonts w:ascii="宋体" w:hint="eastAsia"/>
          <w:color w:val="000000" w:themeColor="text1"/>
        </w:rPr>
        <w:t>05</w:t>
      </w:r>
      <w:r>
        <w:rPr>
          <w:rFonts w:ascii="宋体" w:hint="eastAsia"/>
          <w:color w:val="000000" w:themeColor="text1"/>
        </w:rPr>
        <w:t>5</w:t>
      </w:r>
      <w:r>
        <w:rPr>
          <w:rFonts w:ascii="宋体" w:hint="eastAsia"/>
          <w:color w:val="000000" w:themeColor="text1"/>
        </w:rPr>
        <w:t>号，结论为：该工程消防验收综合评定为合格。详见附件。</w:t>
      </w:r>
    </w:p>
    <w:p w:rsidR="00A52AFE" w:rsidRDefault="008D5D6E">
      <w:pPr>
        <w:pStyle w:val="6"/>
        <w:widowControl w:val="0"/>
        <w:adjustRightInd w:val="0"/>
        <w:snapToGrid w:val="0"/>
        <w:spacing w:line="360" w:lineRule="auto"/>
        <w:ind w:firstLine="560"/>
        <w:rPr>
          <w:rFonts w:ascii="宋体"/>
        </w:rPr>
      </w:pPr>
      <w:r>
        <w:rPr>
          <w:rFonts w:ascii="宋体" w:hint="eastAsia"/>
        </w:rPr>
        <w:t>该站于</w:t>
      </w:r>
      <w:r>
        <w:rPr>
          <w:rFonts w:ascii="宋体" w:hint="eastAsia"/>
        </w:rPr>
        <w:t>202</w:t>
      </w:r>
      <w:r>
        <w:rPr>
          <w:rFonts w:ascii="宋体" w:hint="eastAsia"/>
        </w:rPr>
        <w:t>2</w:t>
      </w:r>
      <w:r>
        <w:rPr>
          <w:rFonts w:ascii="宋体" w:hint="eastAsia"/>
        </w:rPr>
        <w:t>年</w:t>
      </w:r>
      <w:r>
        <w:rPr>
          <w:rFonts w:ascii="宋体" w:hint="eastAsia"/>
        </w:rPr>
        <w:t>0</w:t>
      </w:r>
      <w:r>
        <w:rPr>
          <w:rFonts w:ascii="宋体" w:hint="eastAsia"/>
        </w:rPr>
        <w:t>1</w:t>
      </w:r>
      <w:r>
        <w:rPr>
          <w:rFonts w:ascii="宋体" w:hint="eastAsia"/>
        </w:rPr>
        <w:t>月</w:t>
      </w:r>
      <w:r>
        <w:rPr>
          <w:rFonts w:ascii="宋体" w:hint="eastAsia"/>
        </w:rPr>
        <w:t>06</w:t>
      </w:r>
      <w:r>
        <w:rPr>
          <w:rFonts w:ascii="宋体" w:hint="eastAsia"/>
        </w:rPr>
        <w:t>日换发了《成品油零售经营批准证书》，证书编号：</w:t>
      </w:r>
      <w:proofErr w:type="gramStart"/>
      <w:r>
        <w:rPr>
          <w:rFonts w:ascii="宋体" w:hint="eastAsia"/>
        </w:rPr>
        <w:t>鲁油零售</w:t>
      </w:r>
      <w:proofErr w:type="gramEnd"/>
      <w:r>
        <w:rPr>
          <w:rFonts w:ascii="宋体" w:hint="eastAsia"/>
        </w:rPr>
        <w:t>证书第</w:t>
      </w:r>
      <w:r>
        <w:rPr>
          <w:rFonts w:ascii="宋体" w:hint="eastAsia"/>
        </w:rPr>
        <w:t>37090</w:t>
      </w:r>
      <w:r>
        <w:rPr>
          <w:rFonts w:ascii="宋体" w:hint="eastAsia"/>
        </w:rPr>
        <w:t>0</w:t>
      </w:r>
      <w:r>
        <w:rPr>
          <w:rFonts w:ascii="宋体" w:hint="eastAsia"/>
        </w:rPr>
        <w:t>10</w:t>
      </w:r>
      <w:r>
        <w:rPr>
          <w:rFonts w:ascii="宋体" w:hint="eastAsia"/>
        </w:rPr>
        <w:t>46</w:t>
      </w:r>
      <w:r>
        <w:rPr>
          <w:rFonts w:ascii="宋体" w:hint="eastAsia"/>
        </w:rPr>
        <w:t>号，证书有效期至</w:t>
      </w:r>
      <w:r>
        <w:rPr>
          <w:rFonts w:ascii="宋体" w:hint="eastAsia"/>
        </w:rPr>
        <w:t>202</w:t>
      </w:r>
      <w:r>
        <w:rPr>
          <w:rFonts w:ascii="宋体" w:hint="eastAsia"/>
        </w:rPr>
        <w:t>7</w:t>
      </w:r>
      <w:r>
        <w:rPr>
          <w:rFonts w:ascii="宋体" w:hint="eastAsia"/>
        </w:rPr>
        <w:t>年</w:t>
      </w:r>
      <w:r>
        <w:rPr>
          <w:rFonts w:ascii="宋体" w:hint="eastAsia"/>
        </w:rPr>
        <w:t>0</w:t>
      </w:r>
      <w:r>
        <w:rPr>
          <w:rFonts w:ascii="宋体" w:hint="eastAsia"/>
        </w:rPr>
        <w:t>1</w:t>
      </w:r>
      <w:r>
        <w:rPr>
          <w:rFonts w:ascii="宋体" w:hint="eastAsia"/>
        </w:rPr>
        <w:t>月</w:t>
      </w:r>
      <w:r>
        <w:rPr>
          <w:rFonts w:ascii="宋体" w:hint="eastAsia"/>
        </w:rPr>
        <w:t>06</w:t>
      </w:r>
      <w:r>
        <w:rPr>
          <w:rFonts w:ascii="宋体" w:hint="eastAsia"/>
        </w:rPr>
        <w:t>日，证书见附件。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rPr>
        <w:t>该站于</w:t>
      </w:r>
      <w:r>
        <w:rPr>
          <w:rFonts w:ascii="宋体" w:hint="eastAsia"/>
        </w:rPr>
        <w:t>2022</w:t>
      </w:r>
      <w:r>
        <w:rPr>
          <w:rFonts w:ascii="宋体" w:hint="eastAsia"/>
        </w:rPr>
        <w:t>年</w:t>
      </w:r>
      <w:r>
        <w:rPr>
          <w:rFonts w:ascii="宋体" w:hint="eastAsia"/>
        </w:rPr>
        <w:t>06</w:t>
      </w:r>
      <w:r>
        <w:rPr>
          <w:rFonts w:ascii="宋体" w:hint="eastAsia"/>
        </w:rPr>
        <w:t>月</w:t>
      </w:r>
      <w:r>
        <w:rPr>
          <w:rFonts w:ascii="宋体" w:hint="eastAsia"/>
        </w:rPr>
        <w:t>1</w:t>
      </w:r>
      <w:r>
        <w:rPr>
          <w:rFonts w:ascii="宋体" w:hint="eastAsia"/>
        </w:rPr>
        <w:t>0</w:t>
      </w:r>
      <w:r>
        <w:rPr>
          <w:rFonts w:ascii="宋体" w:hint="eastAsia"/>
        </w:rPr>
        <w:t>日换发了《危险化学品经营许可证》，证书编号：鲁</w:t>
      </w:r>
      <w:proofErr w:type="gramStart"/>
      <w:r>
        <w:rPr>
          <w:rFonts w:ascii="宋体" w:hint="eastAsia"/>
          <w:color w:val="000000" w:themeColor="text1"/>
        </w:rPr>
        <w:t>泰危化</w:t>
      </w:r>
      <w:proofErr w:type="gramEnd"/>
      <w:r>
        <w:rPr>
          <w:rFonts w:ascii="宋体" w:hint="eastAsia"/>
          <w:color w:val="000000" w:themeColor="text1"/>
        </w:rPr>
        <w:t>经</w:t>
      </w:r>
      <w:r>
        <w:rPr>
          <w:rFonts w:ascii="宋体" w:hint="eastAsia"/>
          <w:color w:val="000000" w:themeColor="text1"/>
        </w:rPr>
        <w:t>[2022]0002</w:t>
      </w:r>
      <w:r>
        <w:rPr>
          <w:rFonts w:ascii="宋体" w:hint="eastAsia"/>
          <w:color w:val="000000" w:themeColor="text1"/>
        </w:rPr>
        <w:t>14</w:t>
      </w:r>
      <w:r>
        <w:rPr>
          <w:rFonts w:ascii="宋体" w:hint="eastAsia"/>
          <w:color w:val="000000" w:themeColor="text1"/>
        </w:rPr>
        <w:t>号，证书有效期至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日，证书见附件。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w:t>
      </w:r>
      <w:r>
        <w:rPr>
          <w:rFonts w:ascii="宋体" w:hint="eastAsia"/>
          <w:color w:val="000000" w:themeColor="text1"/>
        </w:rPr>
        <w:t>在</w:t>
      </w:r>
      <w:r>
        <w:rPr>
          <w:rFonts w:ascii="宋体" w:hint="eastAsia"/>
          <w:color w:val="000000" w:themeColor="text1"/>
        </w:rPr>
        <w:t>中国太平洋</w:t>
      </w:r>
      <w:r>
        <w:rPr>
          <w:rFonts w:ascii="宋体" w:hint="eastAsia"/>
          <w:color w:val="000000" w:themeColor="text1"/>
        </w:rPr>
        <w:t>财产保险</w:t>
      </w:r>
      <w:r>
        <w:rPr>
          <w:rFonts w:ascii="宋体" w:hint="eastAsia"/>
          <w:color w:val="000000" w:themeColor="text1"/>
        </w:rPr>
        <w:t>股份</w:t>
      </w:r>
      <w:r>
        <w:rPr>
          <w:rFonts w:ascii="宋体" w:hint="eastAsia"/>
          <w:color w:val="000000" w:themeColor="text1"/>
        </w:rPr>
        <w:t>有限公司投保了安全生产责任保险，保险期限为</w:t>
      </w: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01</w:t>
      </w:r>
      <w:r>
        <w:rPr>
          <w:rFonts w:ascii="宋体" w:hint="eastAsia"/>
          <w:color w:val="000000" w:themeColor="text1"/>
        </w:rPr>
        <w:t>月</w:t>
      </w:r>
      <w:r>
        <w:rPr>
          <w:rFonts w:ascii="宋体" w:hint="eastAsia"/>
          <w:color w:val="000000" w:themeColor="text1"/>
        </w:rPr>
        <w:t>01</w:t>
      </w:r>
      <w:r>
        <w:rPr>
          <w:rFonts w:ascii="宋体" w:hint="eastAsia"/>
          <w:color w:val="000000" w:themeColor="text1"/>
        </w:rPr>
        <w:t>日</w:t>
      </w:r>
      <w:r>
        <w:rPr>
          <w:rFonts w:ascii="宋体" w:hint="eastAsia"/>
          <w:color w:val="000000" w:themeColor="text1"/>
        </w:rPr>
        <w:t>零时</w:t>
      </w:r>
      <w:r>
        <w:rPr>
          <w:rFonts w:ascii="宋体" w:hint="eastAsia"/>
          <w:color w:val="000000" w:themeColor="text1"/>
        </w:rPr>
        <w:t>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12</w:t>
      </w:r>
      <w:r>
        <w:rPr>
          <w:rFonts w:ascii="宋体" w:hint="eastAsia"/>
          <w:color w:val="000000" w:themeColor="text1"/>
        </w:rPr>
        <w:t>月</w:t>
      </w:r>
      <w:r>
        <w:rPr>
          <w:rFonts w:ascii="宋体" w:hint="eastAsia"/>
          <w:color w:val="000000" w:themeColor="text1"/>
        </w:rPr>
        <w:t>31</w:t>
      </w:r>
      <w:r>
        <w:rPr>
          <w:rFonts w:ascii="宋体" w:hint="eastAsia"/>
          <w:color w:val="000000" w:themeColor="text1"/>
        </w:rPr>
        <w:t>日</w:t>
      </w:r>
      <w:r>
        <w:rPr>
          <w:rFonts w:ascii="宋体" w:hint="eastAsia"/>
          <w:color w:val="000000" w:themeColor="text1"/>
        </w:rPr>
        <w:t>二十四时</w:t>
      </w:r>
      <w:r>
        <w:rPr>
          <w:rFonts w:ascii="宋体" w:hint="eastAsia"/>
          <w:color w:val="000000" w:themeColor="text1"/>
        </w:rPr>
        <w:t>，详见附件。</w:t>
      </w:r>
    </w:p>
    <w:p w:rsidR="00A52AFE" w:rsidRDefault="008D5D6E">
      <w:pPr>
        <w:pStyle w:val="6"/>
        <w:widowControl w:val="0"/>
        <w:adjustRightInd w:val="0"/>
        <w:snapToGrid w:val="0"/>
        <w:spacing w:line="360" w:lineRule="auto"/>
        <w:ind w:firstLine="560"/>
        <w:rPr>
          <w:rFonts w:ascii="宋体"/>
          <w:color w:val="FF0000"/>
        </w:rPr>
      </w:pPr>
      <w:r>
        <w:rPr>
          <w:rFonts w:ascii="宋体" w:hint="eastAsia"/>
          <w:color w:val="000000" w:themeColor="text1"/>
        </w:rPr>
        <w:t>2025</w:t>
      </w:r>
      <w:r>
        <w:rPr>
          <w:rFonts w:ascii="宋体" w:hint="eastAsia"/>
          <w:color w:val="000000" w:themeColor="text1"/>
        </w:rPr>
        <w:t>年</w:t>
      </w:r>
      <w:r>
        <w:rPr>
          <w:rFonts w:ascii="宋体" w:hint="eastAsia"/>
          <w:color w:val="000000" w:themeColor="text1"/>
        </w:rPr>
        <w:t>01</w:t>
      </w:r>
      <w:r>
        <w:rPr>
          <w:rFonts w:ascii="宋体" w:hint="eastAsia"/>
          <w:color w:val="000000" w:themeColor="text1"/>
        </w:rPr>
        <w:t>月，哈尔滨东方报警设备开发有限公司为该站的</w:t>
      </w:r>
      <w:r>
        <w:rPr>
          <w:rFonts w:ascii="宋体" w:hint="eastAsia"/>
          <w:color w:val="000000" w:themeColor="text1"/>
        </w:rPr>
        <w:t>4</w:t>
      </w:r>
      <w:r>
        <w:rPr>
          <w:rFonts w:ascii="宋体" w:hint="eastAsia"/>
          <w:color w:val="000000" w:themeColor="text1"/>
        </w:rPr>
        <w:t>台可燃气体探测器及</w:t>
      </w:r>
      <w:r>
        <w:rPr>
          <w:rFonts w:ascii="宋体" w:hint="eastAsia"/>
          <w:color w:val="000000" w:themeColor="text1"/>
        </w:rPr>
        <w:t>1</w:t>
      </w:r>
      <w:r>
        <w:rPr>
          <w:rFonts w:ascii="宋体" w:hint="eastAsia"/>
          <w:color w:val="000000" w:themeColor="text1"/>
        </w:rPr>
        <w:t>台报警控制器出具了检验报告，检验结论为合格。详见附件。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该站编制了生产安全事故应急预案，于</w:t>
      </w: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01</w:t>
      </w:r>
      <w:r>
        <w:rPr>
          <w:rFonts w:ascii="宋体" w:hint="eastAsia"/>
          <w:color w:val="000000" w:themeColor="text1"/>
        </w:rPr>
        <w:t>月</w:t>
      </w:r>
      <w:r>
        <w:rPr>
          <w:rFonts w:ascii="宋体" w:hint="eastAsia"/>
          <w:color w:val="000000" w:themeColor="text1"/>
        </w:rPr>
        <w:t>2</w:t>
      </w:r>
      <w:r>
        <w:rPr>
          <w:rFonts w:ascii="宋体" w:hint="eastAsia"/>
          <w:color w:val="000000" w:themeColor="text1"/>
        </w:rPr>
        <w:t>7</w:t>
      </w:r>
      <w:r>
        <w:rPr>
          <w:rFonts w:ascii="宋体" w:hint="eastAsia"/>
          <w:color w:val="000000" w:themeColor="text1"/>
        </w:rPr>
        <w:t>日在泰安市应急管理局进行了备案，备案编号为：</w:t>
      </w:r>
      <w:r>
        <w:rPr>
          <w:rFonts w:ascii="宋体" w:hint="eastAsia"/>
          <w:color w:val="000000" w:themeColor="text1"/>
        </w:rPr>
        <w:t>370900-202</w:t>
      </w:r>
      <w:r>
        <w:rPr>
          <w:rFonts w:ascii="宋体" w:hint="eastAsia"/>
          <w:color w:val="000000" w:themeColor="text1"/>
        </w:rPr>
        <w:t>5</w:t>
      </w:r>
      <w:r>
        <w:rPr>
          <w:rFonts w:ascii="宋体" w:hint="eastAsia"/>
          <w:color w:val="000000" w:themeColor="text1"/>
        </w:rPr>
        <w:t>-00</w:t>
      </w:r>
      <w:r>
        <w:rPr>
          <w:rFonts w:ascii="宋体" w:hint="eastAsia"/>
          <w:color w:val="000000" w:themeColor="text1"/>
        </w:rPr>
        <w:t>0</w:t>
      </w:r>
      <w:r>
        <w:rPr>
          <w:rFonts w:ascii="宋体" w:hint="eastAsia"/>
          <w:color w:val="000000" w:themeColor="text1"/>
        </w:rPr>
        <w:t>5</w:t>
      </w:r>
      <w:r>
        <w:rPr>
          <w:rFonts w:ascii="宋体" w:hint="eastAsia"/>
          <w:color w:val="000000" w:themeColor="text1"/>
        </w:rPr>
        <w:t>，详见附件。</w:t>
      </w:r>
    </w:p>
    <w:p w:rsidR="00A52AFE" w:rsidRDefault="008D5D6E">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w:t>
      </w:r>
      <w:r>
        <w:rPr>
          <w:rFonts w:ascii="宋体" w:hint="eastAsia"/>
          <w:color w:val="000000" w:themeColor="text1"/>
        </w:rPr>
        <w:t>3</w:t>
      </w:r>
      <w:r>
        <w:rPr>
          <w:rFonts w:ascii="宋体" w:hint="eastAsia"/>
          <w:color w:val="000000" w:themeColor="text1"/>
        </w:rPr>
        <w:t>月</w:t>
      </w:r>
      <w:r>
        <w:rPr>
          <w:rFonts w:ascii="宋体" w:hint="eastAsia"/>
          <w:color w:val="000000" w:themeColor="text1"/>
        </w:rPr>
        <w:t>04</w:t>
      </w:r>
      <w:r>
        <w:rPr>
          <w:rFonts w:ascii="宋体" w:hint="eastAsia"/>
          <w:color w:val="000000" w:themeColor="text1"/>
        </w:rPr>
        <w:t>日，山东天科防雷工程有限公司对该站进行了相关防</w:t>
      </w:r>
      <w:proofErr w:type="gramStart"/>
      <w:r>
        <w:rPr>
          <w:rFonts w:ascii="宋体" w:hint="eastAsia"/>
          <w:color w:val="000000" w:themeColor="text1"/>
        </w:rPr>
        <w:t>雷设施</w:t>
      </w:r>
      <w:proofErr w:type="gramEnd"/>
      <w:r>
        <w:rPr>
          <w:rFonts w:ascii="宋体" w:hint="eastAsia"/>
          <w:color w:val="000000" w:themeColor="text1"/>
        </w:rPr>
        <w:t>的检测，出具了合格的《雷电防护装置定期检测报告》，报告编号：</w:t>
      </w:r>
      <w:r>
        <w:rPr>
          <w:rFonts w:ascii="宋体" w:hint="eastAsia"/>
          <w:color w:val="000000" w:themeColor="text1"/>
        </w:rPr>
        <w:lastRenderedPageBreak/>
        <w:t>（</w:t>
      </w:r>
      <w:r>
        <w:rPr>
          <w:rFonts w:ascii="宋体" w:hint="eastAsia"/>
          <w:color w:val="000000" w:themeColor="text1"/>
        </w:rPr>
        <w:t>1122016001</w:t>
      </w:r>
      <w:r>
        <w:rPr>
          <w:rFonts w:ascii="宋体" w:hint="eastAsia"/>
          <w:color w:val="000000" w:themeColor="text1"/>
        </w:rPr>
        <w:t>）</w:t>
      </w:r>
      <w:r>
        <w:rPr>
          <w:rFonts w:ascii="宋体" w:hint="eastAsia"/>
          <w:color w:val="000000" w:themeColor="text1"/>
        </w:rPr>
        <w:t>[202</w:t>
      </w:r>
      <w:r>
        <w:rPr>
          <w:rFonts w:ascii="宋体" w:hint="eastAsia"/>
          <w:color w:val="000000" w:themeColor="text1"/>
        </w:rPr>
        <w:t>5</w:t>
      </w:r>
      <w:r>
        <w:rPr>
          <w:rFonts w:ascii="宋体" w:hint="eastAsia"/>
          <w:color w:val="000000" w:themeColor="text1"/>
        </w:rPr>
        <w:t>]</w:t>
      </w:r>
      <w:r>
        <w:rPr>
          <w:rFonts w:ascii="宋体" w:hint="eastAsia"/>
          <w:color w:val="000000" w:themeColor="text1"/>
        </w:rPr>
        <w:t>D-</w:t>
      </w:r>
      <w:r>
        <w:rPr>
          <w:rFonts w:ascii="宋体" w:hint="eastAsia"/>
          <w:color w:val="000000" w:themeColor="text1"/>
        </w:rPr>
        <w:t>TA0</w:t>
      </w:r>
      <w:r>
        <w:rPr>
          <w:rFonts w:ascii="宋体" w:hint="eastAsia"/>
          <w:color w:val="000000" w:themeColor="text1"/>
        </w:rPr>
        <w:t>030</w:t>
      </w:r>
      <w:r>
        <w:rPr>
          <w:rFonts w:ascii="宋体" w:hint="eastAsia"/>
          <w:color w:val="000000" w:themeColor="text1"/>
        </w:rPr>
        <w:t>，结论为“合格：加油站雷电防护装置符合现行国家防雷</w:t>
      </w:r>
      <w:r>
        <w:rPr>
          <w:rFonts w:ascii="宋体" w:hint="eastAsia"/>
          <w:color w:val="000000" w:themeColor="text1"/>
        </w:rPr>
        <w:t>规范标准要求”，报告有效期至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w:t>
      </w:r>
      <w:r>
        <w:rPr>
          <w:rFonts w:ascii="宋体" w:hint="eastAsia"/>
          <w:color w:val="000000" w:themeColor="text1"/>
        </w:rPr>
        <w:t>9</w:t>
      </w:r>
      <w:r>
        <w:rPr>
          <w:rFonts w:ascii="宋体" w:hint="eastAsia"/>
          <w:color w:val="000000" w:themeColor="text1"/>
        </w:rPr>
        <w:t>月</w:t>
      </w:r>
      <w:r>
        <w:rPr>
          <w:rFonts w:ascii="宋体" w:hint="eastAsia"/>
          <w:color w:val="000000" w:themeColor="text1"/>
        </w:rPr>
        <w:t>2</w:t>
      </w:r>
      <w:r>
        <w:rPr>
          <w:rFonts w:ascii="宋体" w:hint="eastAsia"/>
          <w:color w:val="000000" w:themeColor="text1"/>
        </w:rPr>
        <w:t>6</w:t>
      </w:r>
      <w:r>
        <w:rPr>
          <w:rFonts w:ascii="宋体" w:hint="eastAsia"/>
          <w:color w:val="000000" w:themeColor="text1"/>
        </w:rPr>
        <w:t>日，检测报告见附件。</w:t>
      </w:r>
    </w:p>
    <w:p w:rsidR="00A52AFE" w:rsidRDefault="008D5D6E">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rsidR="00A52AFE" w:rsidRDefault="008D5D6E">
      <w:pPr>
        <w:pStyle w:val="6"/>
        <w:widowControl w:val="0"/>
        <w:adjustRightInd w:val="0"/>
        <w:snapToGrid w:val="0"/>
        <w:spacing w:line="360" w:lineRule="auto"/>
        <w:ind w:firstLine="560"/>
        <w:rPr>
          <w:rFonts w:ascii="宋体"/>
        </w:rPr>
      </w:pPr>
      <w:r>
        <w:rPr>
          <w:rFonts w:ascii="宋体" w:hint="eastAsia"/>
        </w:rPr>
        <w:t>该站各项安全管理制度基本健全，有生产经营单位生产事故应急预案，并定期进行应急救援演练。该加油站消防器材配备齐全，加油站配备了</w:t>
      </w:r>
      <w:r>
        <w:rPr>
          <w:rFonts w:ascii="宋体" w:hint="eastAsia"/>
        </w:rPr>
        <w:t>35kg</w:t>
      </w:r>
      <w:r>
        <w:rPr>
          <w:rFonts w:ascii="宋体" w:hint="eastAsia"/>
        </w:rPr>
        <w:t>推车式干粉灭火器</w:t>
      </w:r>
      <w:r>
        <w:rPr>
          <w:rFonts w:ascii="宋体" w:hint="eastAsia"/>
        </w:rPr>
        <w:t>2</w:t>
      </w:r>
      <w:r>
        <w:rPr>
          <w:rFonts w:ascii="宋体" w:hint="eastAsia"/>
        </w:rPr>
        <w:t>具，</w:t>
      </w:r>
      <w:r>
        <w:rPr>
          <w:rFonts w:ascii="宋体" w:hint="eastAsia"/>
        </w:rPr>
        <w:t>8</w:t>
      </w:r>
      <w:r>
        <w:rPr>
          <w:rFonts w:ascii="宋体" w:hint="eastAsia"/>
        </w:rPr>
        <w:t>kg</w:t>
      </w:r>
      <w:r>
        <w:rPr>
          <w:rFonts w:ascii="宋体" w:hint="eastAsia"/>
        </w:rPr>
        <w:t>手提式干粉灭火器</w:t>
      </w:r>
      <w:r>
        <w:rPr>
          <w:rFonts w:ascii="宋体" w:hint="eastAsia"/>
        </w:rPr>
        <w:t>10</w:t>
      </w:r>
      <w:r>
        <w:rPr>
          <w:rFonts w:ascii="宋体" w:hint="eastAsia"/>
        </w:rPr>
        <w:t>具，</w:t>
      </w:r>
      <w:r>
        <w:rPr>
          <w:rFonts w:ascii="宋体" w:hint="eastAsia"/>
        </w:rPr>
        <w:t>5</w:t>
      </w:r>
      <w:r>
        <w:rPr>
          <w:rFonts w:ascii="宋体" w:hint="eastAsia"/>
        </w:rPr>
        <w:t>kg</w:t>
      </w:r>
      <w:r>
        <w:rPr>
          <w:rFonts w:ascii="宋体" w:hint="eastAsia"/>
        </w:rPr>
        <w:t>手提式干粉灭火器</w:t>
      </w:r>
      <w:r>
        <w:rPr>
          <w:rFonts w:ascii="宋体" w:hint="eastAsia"/>
        </w:rPr>
        <w:t>2</w:t>
      </w:r>
      <w:r>
        <w:rPr>
          <w:rFonts w:ascii="宋体" w:hint="eastAsia"/>
        </w:rPr>
        <w:t>具，</w:t>
      </w:r>
      <w:r>
        <w:rPr>
          <w:rFonts w:ascii="宋体" w:hint="eastAsia"/>
        </w:rPr>
        <w:t>4</w:t>
      </w:r>
      <w:r>
        <w:rPr>
          <w:rFonts w:ascii="宋体" w:hint="eastAsia"/>
        </w:rPr>
        <w:t>kg</w:t>
      </w:r>
      <w:r>
        <w:rPr>
          <w:rFonts w:ascii="宋体" w:hint="eastAsia"/>
        </w:rPr>
        <w:t>手提式干粉灭火器</w:t>
      </w:r>
      <w:r>
        <w:rPr>
          <w:rFonts w:ascii="宋体" w:hint="eastAsia"/>
        </w:rPr>
        <w:t>8</w:t>
      </w:r>
      <w:r>
        <w:rPr>
          <w:rFonts w:ascii="宋体" w:hint="eastAsia"/>
        </w:rPr>
        <w:t>具</w:t>
      </w:r>
      <w:r>
        <w:rPr>
          <w:rFonts w:ascii="宋体" w:hint="eastAsia"/>
        </w:rPr>
        <w:t>，</w:t>
      </w:r>
      <w:r>
        <w:rPr>
          <w:rFonts w:ascii="宋体" w:hint="eastAsia"/>
        </w:rPr>
        <w:t>CO</w:t>
      </w:r>
      <w:r>
        <w:rPr>
          <w:rFonts w:ascii="宋体" w:hint="eastAsia"/>
          <w:vertAlign w:val="subscript"/>
        </w:rPr>
        <w:t>2</w:t>
      </w:r>
      <w:r>
        <w:rPr>
          <w:rFonts w:ascii="宋体" w:hint="eastAsia"/>
        </w:rPr>
        <w:t>灭火器</w:t>
      </w:r>
      <w:r>
        <w:rPr>
          <w:rFonts w:ascii="宋体" w:hint="eastAsia"/>
        </w:rPr>
        <w:t>2</w:t>
      </w:r>
      <w:r>
        <w:rPr>
          <w:rFonts w:ascii="宋体" w:hint="eastAsia"/>
        </w:rPr>
        <w:t>具，灭火</w:t>
      </w:r>
      <w:proofErr w:type="gramStart"/>
      <w:r>
        <w:rPr>
          <w:rFonts w:ascii="宋体" w:hint="eastAsia"/>
        </w:rPr>
        <w:t>毯</w:t>
      </w:r>
      <w:proofErr w:type="gramEnd"/>
      <w:r>
        <w:rPr>
          <w:rFonts w:ascii="宋体" w:hint="eastAsia"/>
        </w:rPr>
        <w:t>9</w:t>
      </w:r>
      <w:r>
        <w:rPr>
          <w:rFonts w:ascii="宋体" w:hint="eastAsia"/>
        </w:rPr>
        <w:t>块，消防</w:t>
      </w:r>
      <w:proofErr w:type="gramStart"/>
      <w:r>
        <w:rPr>
          <w:rFonts w:ascii="宋体" w:hint="eastAsia"/>
        </w:rPr>
        <w:t>锨</w:t>
      </w:r>
      <w:proofErr w:type="gramEnd"/>
      <w:r>
        <w:rPr>
          <w:rFonts w:ascii="宋体" w:hint="eastAsia"/>
        </w:rPr>
        <w:t>4</w:t>
      </w:r>
      <w:r>
        <w:rPr>
          <w:rFonts w:ascii="宋体" w:hint="eastAsia"/>
        </w:rPr>
        <w:t>把，消防桶</w:t>
      </w:r>
      <w:r>
        <w:rPr>
          <w:rFonts w:ascii="宋体" w:hint="eastAsia"/>
        </w:rPr>
        <w:t>4</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A52AFE" w:rsidRDefault="008D5D6E">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rsidR="00A52AFE" w:rsidRDefault="008D5D6E">
      <w:pPr>
        <w:pStyle w:val="1"/>
        <w:widowControl w:val="0"/>
        <w:adjustRightInd w:val="0"/>
        <w:snapToGrid w:val="0"/>
        <w:spacing w:beforeLines="150" w:before="468" w:afterLines="50" w:after="156" w:line="360" w:lineRule="auto"/>
      </w:pPr>
      <w:bookmarkStart w:id="10" w:name="_Toc102634255"/>
      <w:bookmarkStart w:id="11" w:name="_Toc102633906"/>
      <w:bookmarkStart w:id="12" w:name="_Toc102634406"/>
      <w:bookmarkStart w:id="13" w:name="_Toc102633980"/>
      <w:r>
        <w:lastRenderedPageBreak/>
        <w:t>第四章</w:t>
      </w:r>
      <w:r>
        <w:t xml:space="preserve"> </w:t>
      </w:r>
      <w:r>
        <w:t>评价单元划分与评价方法选择</w:t>
      </w:r>
      <w:bookmarkEnd w:id="10"/>
      <w:bookmarkEnd w:id="11"/>
      <w:bookmarkEnd w:id="12"/>
      <w:bookmarkEnd w:id="13"/>
    </w:p>
    <w:p w:rsidR="00A52AFE" w:rsidRDefault="008D5D6E">
      <w:pPr>
        <w:adjustRightInd w:val="0"/>
        <w:snapToGrid w:val="0"/>
        <w:spacing w:line="360" w:lineRule="auto"/>
        <w:jc w:val="center"/>
        <w:outlineLvl w:val="1"/>
        <w:rPr>
          <w:rFonts w:ascii="Calibri" w:eastAsia="楷体_GB2312" w:hAnsi="Calibri"/>
          <w:b/>
          <w:kern w:val="0"/>
          <w:sz w:val="32"/>
          <w:szCs w:val="20"/>
        </w:rPr>
      </w:pPr>
      <w:bookmarkStart w:id="14" w:name="_Toc102633907"/>
      <w:bookmarkStart w:id="15" w:name="_Toc102634407"/>
      <w:bookmarkStart w:id="16" w:name="_Toc102634256"/>
      <w:bookmarkStart w:id="17" w:name="_Toc198026273"/>
      <w:bookmarkStart w:id="18" w:name="_Toc238007574"/>
      <w:bookmarkStart w:id="19" w:name="_Toc192907201"/>
      <w:bookmarkStart w:id="20" w:name="_Toc102633981"/>
      <w:bookmarkStart w:id="21" w:name="_Toc15033754"/>
      <w:bookmarkStart w:id="22" w:name="_Toc23543"/>
      <w:bookmarkStart w:id="23" w:name="_Toc7829"/>
      <w:bookmarkStart w:id="24" w:name="_Toc272364536"/>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4"/>
      <w:bookmarkEnd w:id="15"/>
      <w:bookmarkEnd w:id="16"/>
      <w:bookmarkEnd w:id="17"/>
      <w:bookmarkEnd w:id="18"/>
      <w:bookmarkEnd w:id="19"/>
      <w:bookmarkEnd w:id="20"/>
      <w:bookmarkEnd w:id="21"/>
      <w:bookmarkEnd w:id="22"/>
      <w:bookmarkEnd w:id="23"/>
      <w:bookmarkEnd w:id="24"/>
    </w:p>
    <w:p w:rsidR="00A52AFE" w:rsidRDefault="008D5D6E">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A52AFE" w:rsidRDefault="008D5D6E">
      <w:pPr>
        <w:pStyle w:val="3"/>
        <w:widowControl w:val="0"/>
        <w:adjustRightInd w:val="0"/>
        <w:snapToGrid w:val="0"/>
        <w:spacing w:line="360" w:lineRule="auto"/>
        <w:ind w:firstLine="560"/>
        <w:jc w:val="both"/>
      </w:pPr>
      <w:bookmarkStart w:id="25" w:name="_Toc102634257"/>
      <w:r>
        <w:rPr>
          <w:rFonts w:hint="eastAsia"/>
        </w:rPr>
        <w:t>一</w:t>
      </w:r>
      <w:r>
        <w:t>、以危险有害因素的类别为主划分评价单元</w:t>
      </w:r>
      <w:bookmarkEnd w:id="25"/>
    </w:p>
    <w:p w:rsidR="00A52AFE" w:rsidRDefault="008D5D6E">
      <w:pPr>
        <w:pStyle w:val="6"/>
        <w:widowControl w:val="0"/>
        <w:adjustRightInd w:val="0"/>
        <w:snapToGrid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w:t>
      </w:r>
      <w:r>
        <w:rPr>
          <w:rFonts w:ascii="宋体"/>
        </w:rPr>
        <w:t>作为一个评价单元。</w:t>
      </w:r>
    </w:p>
    <w:p w:rsidR="00A52AFE" w:rsidRDefault="008D5D6E">
      <w:pPr>
        <w:pStyle w:val="6"/>
        <w:widowControl w:val="0"/>
        <w:adjustRightInd w:val="0"/>
        <w:snapToGrid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A52AFE" w:rsidRDefault="008D5D6E">
      <w:pPr>
        <w:pStyle w:val="3"/>
        <w:widowControl w:val="0"/>
        <w:adjustRightInd w:val="0"/>
        <w:snapToGrid w:val="0"/>
        <w:spacing w:line="360" w:lineRule="auto"/>
        <w:ind w:firstLine="560"/>
        <w:jc w:val="both"/>
      </w:pPr>
      <w:bookmarkStart w:id="26" w:name="_Toc102634258"/>
      <w:r>
        <w:rPr>
          <w:rFonts w:hint="eastAsia"/>
        </w:rPr>
        <w:t>二</w:t>
      </w:r>
      <w:r>
        <w:t>、以物质特征划分评价单元</w:t>
      </w:r>
      <w:bookmarkEnd w:id="26"/>
    </w:p>
    <w:p w:rsidR="00A52AFE" w:rsidRDefault="008D5D6E">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按装</w:t>
      </w:r>
      <w:proofErr w:type="gramEnd"/>
      <w:r>
        <w:rPr>
          <w:rFonts w:ascii="宋体"/>
        </w:rPr>
        <w:t>置工艺功能、布置的相对独立性、工艺条件及贮存、处理危险物质的潜在化学能、毒性和危险物质的数量等划分评价单元。</w:t>
      </w:r>
    </w:p>
    <w:p w:rsidR="00A52AFE" w:rsidRDefault="008D5D6E">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A52AFE" w:rsidRDefault="008D5D6E">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A52AFE" w:rsidRDefault="008D5D6E">
      <w:pPr>
        <w:pStyle w:val="6"/>
        <w:widowControl w:val="0"/>
        <w:adjustRightInd w:val="0"/>
        <w:snapToGrid w:val="0"/>
        <w:spacing w:line="360" w:lineRule="auto"/>
        <w:ind w:firstLine="560"/>
        <w:rPr>
          <w:rFonts w:ascii="宋体"/>
        </w:rPr>
      </w:pPr>
      <w:r>
        <w:rPr>
          <w:rFonts w:ascii="宋体"/>
        </w:rPr>
        <w:t>1</w:t>
      </w:r>
      <w:r>
        <w:rPr>
          <w:rFonts w:ascii="宋体"/>
        </w:rPr>
        <w:t>、安全管理；</w:t>
      </w:r>
    </w:p>
    <w:p w:rsidR="00A52AFE" w:rsidRDefault="008D5D6E">
      <w:pPr>
        <w:pStyle w:val="6"/>
        <w:widowControl w:val="0"/>
        <w:adjustRightInd w:val="0"/>
        <w:snapToGrid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A52AFE" w:rsidRDefault="008D5D6E">
      <w:pPr>
        <w:pStyle w:val="6"/>
        <w:widowControl w:val="0"/>
        <w:adjustRightInd w:val="0"/>
        <w:snapToGrid w:val="0"/>
        <w:spacing w:line="360" w:lineRule="auto"/>
        <w:ind w:firstLine="560"/>
        <w:rPr>
          <w:rFonts w:ascii="宋体"/>
        </w:rPr>
      </w:pPr>
      <w:r>
        <w:rPr>
          <w:rFonts w:ascii="宋体"/>
        </w:rPr>
        <w:t>3</w:t>
      </w:r>
      <w:r>
        <w:rPr>
          <w:rFonts w:ascii="宋体"/>
        </w:rPr>
        <w:t>、加油工艺及设施；</w:t>
      </w:r>
    </w:p>
    <w:p w:rsidR="00A52AFE" w:rsidRDefault="008D5D6E">
      <w:pPr>
        <w:pStyle w:val="6"/>
        <w:widowControl w:val="0"/>
        <w:adjustRightInd w:val="0"/>
        <w:snapToGrid w:val="0"/>
        <w:spacing w:line="360" w:lineRule="auto"/>
        <w:ind w:firstLine="560"/>
        <w:rPr>
          <w:rFonts w:ascii="宋体"/>
        </w:rPr>
      </w:pPr>
      <w:r>
        <w:rPr>
          <w:rFonts w:ascii="宋体"/>
        </w:rPr>
        <w:t>4</w:t>
      </w:r>
      <w:r>
        <w:rPr>
          <w:rFonts w:ascii="宋体"/>
        </w:rPr>
        <w:t>、其它安全设施等。</w:t>
      </w:r>
      <w:bookmarkStart w:id="27" w:name="_Toc15033755"/>
      <w:bookmarkStart w:id="28" w:name="_Toc272364537"/>
      <w:bookmarkStart w:id="29" w:name="_Toc192907202"/>
      <w:bookmarkStart w:id="30" w:name="_Toc19785"/>
      <w:bookmarkStart w:id="31" w:name="_Toc24232"/>
      <w:bookmarkStart w:id="32" w:name="_Toc188079886"/>
      <w:bookmarkStart w:id="33" w:name="_Toc238007575"/>
      <w:bookmarkStart w:id="34" w:name="_Toc198026274"/>
      <w:bookmarkStart w:id="35" w:name="_Toc188080068"/>
    </w:p>
    <w:p w:rsidR="00A52AFE" w:rsidRDefault="008D5D6E">
      <w:pPr>
        <w:adjustRightInd w:val="0"/>
        <w:snapToGrid w:val="0"/>
        <w:spacing w:line="360" w:lineRule="auto"/>
        <w:jc w:val="center"/>
        <w:outlineLvl w:val="1"/>
        <w:rPr>
          <w:rFonts w:ascii="Calibri" w:eastAsia="楷体_GB2312" w:hAnsi="Calibri"/>
          <w:b/>
          <w:kern w:val="0"/>
          <w:sz w:val="32"/>
          <w:szCs w:val="20"/>
        </w:rPr>
      </w:pPr>
      <w:bookmarkStart w:id="36" w:name="_Toc102634408"/>
      <w:bookmarkStart w:id="37" w:name="_Toc102633908"/>
      <w:bookmarkStart w:id="38" w:name="_Toc102634259"/>
      <w:bookmarkStart w:id="39" w:name="_Toc102633982"/>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27"/>
      <w:bookmarkEnd w:id="28"/>
      <w:bookmarkEnd w:id="29"/>
      <w:bookmarkEnd w:id="30"/>
      <w:bookmarkEnd w:id="31"/>
      <w:bookmarkEnd w:id="32"/>
      <w:bookmarkEnd w:id="33"/>
      <w:bookmarkEnd w:id="34"/>
      <w:bookmarkEnd w:id="35"/>
      <w:bookmarkEnd w:id="36"/>
      <w:bookmarkEnd w:id="37"/>
      <w:bookmarkEnd w:id="38"/>
      <w:bookmarkEnd w:id="39"/>
    </w:p>
    <w:p w:rsidR="00A52AFE" w:rsidRDefault="008D5D6E">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A52AFE" w:rsidRDefault="008D5D6E">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w:t>
      </w:r>
      <w:r>
        <w:rPr>
          <w:rFonts w:ascii="宋体"/>
        </w:rPr>
        <w:t>基础数据、工艺和其它资料，选择适用的安全评价方法。</w:t>
      </w:r>
    </w:p>
    <w:p w:rsidR="00A52AFE" w:rsidRDefault="008D5D6E">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中国石油天然气股份有限公司山东泰安销售分公司上高华侨城加油站</w:t>
      </w:r>
      <w:r>
        <w:rPr>
          <w:rFonts w:ascii="宋体"/>
        </w:rPr>
        <w:t>的具体情况，选用安全检查表、事故树法及危险度评价法对加油站进行评价。具体应用如下表所示：</w:t>
      </w:r>
    </w:p>
    <w:p w:rsidR="00A52AFE" w:rsidRDefault="008D5D6E">
      <w:pPr>
        <w:pStyle w:val="5"/>
        <w:widowControl w:val="0"/>
        <w:adjustRightInd w:val="0"/>
        <w:snapToGrid w:val="0"/>
        <w:spacing w:line="360" w:lineRule="auto"/>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A52AFE">
        <w:trPr>
          <w:trHeight w:val="340"/>
          <w:jc w:val="center"/>
        </w:trPr>
        <w:tc>
          <w:tcPr>
            <w:tcW w:w="375" w:type="pct"/>
            <w:vMerge w:val="restart"/>
            <w:vAlign w:val="center"/>
          </w:tcPr>
          <w:p w:rsidR="00A52AFE" w:rsidRDefault="008D5D6E">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A52AFE" w:rsidRDefault="008D5D6E">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A52AFE" w:rsidRDefault="008D5D6E">
            <w:pPr>
              <w:pStyle w:val="50"/>
              <w:widowControl w:val="0"/>
              <w:adjustRightInd w:val="0"/>
              <w:snapToGrid w:val="0"/>
              <w:spacing w:line="360" w:lineRule="auto"/>
              <w:rPr>
                <w:rFonts w:ascii="宋体"/>
                <w:b/>
              </w:rPr>
            </w:pPr>
            <w:r>
              <w:rPr>
                <w:rFonts w:ascii="宋体"/>
                <w:b/>
                <w:lang w:val="en-GB"/>
              </w:rPr>
              <w:t>评价方法</w:t>
            </w:r>
          </w:p>
        </w:tc>
      </w:tr>
      <w:tr w:rsidR="00A52AFE">
        <w:trPr>
          <w:trHeight w:val="340"/>
          <w:jc w:val="center"/>
        </w:trPr>
        <w:tc>
          <w:tcPr>
            <w:tcW w:w="375" w:type="pct"/>
            <w:vMerge/>
            <w:vAlign w:val="center"/>
          </w:tcPr>
          <w:p w:rsidR="00A52AFE" w:rsidRDefault="00A52AFE">
            <w:pPr>
              <w:pStyle w:val="50"/>
              <w:widowControl w:val="0"/>
              <w:adjustRightInd w:val="0"/>
              <w:snapToGrid w:val="0"/>
              <w:spacing w:line="360" w:lineRule="auto"/>
              <w:rPr>
                <w:rFonts w:ascii="宋体"/>
                <w:b/>
                <w:lang w:val="en-GB"/>
              </w:rPr>
            </w:pPr>
          </w:p>
        </w:tc>
        <w:tc>
          <w:tcPr>
            <w:tcW w:w="1285" w:type="pct"/>
            <w:vMerge/>
            <w:vAlign w:val="center"/>
          </w:tcPr>
          <w:p w:rsidR="00A52AFE" w:rsidRDefault="00A52AFE">
            <w:pPr>
              <w:pStyle w:val="50"/>
              <w:widowControl w:val="0"/>
              <w:adjustRightInd w:val="0"/>
              <w:snapToGrid w:val="0"/>
              <w:spacing w:line="360" w:lineRule="auto"/>
              <w:rPr>
                <w:rFonts w:ascii="宋体"/>
                <w:b/>
              </w:rPr>
            </w:pPr>
          </w:p>
        </w:tc>
        <w:tc>
          <w:tcPr>
            <w:tcW w:w="1196" w:type="pct"/>
            <w:vAlign w:val="center"/>
          </w:tcPr>
          <w:p w:rsidR="00A52AFE" w:rsidRDefault="008D5D6E">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A52AFE" w:rsidRDefault="008D5D6E">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A52AFE" w:rsidRDefault="008D5D6E">
            <w:pPr>
              <w:pStyle w:val="50"/>
              <w:widowControl w:val="0"/>
              <w:adjustRightInd w:val="0"/>
              <w:snapToGrid w:val="0"/>
              <w:spacing w:line="360" w:lineRule="auto"/>
              <w:rPr>
                <w:rFonts w:ascii="宋体"/>
                <w:b/>
                <w:lang w:val="en-GB"/>
              </w:rPr>
            </w:pPr>
            <w:r>
              <w:rPr>
                <w:rFonts w:ascii="宋体"/>
                <w:b/>
                <w:lang w:val="en-GB"/>
              </w:rPr>
              <w:t>事故树法</w:t>
            </w:r>
          </w:p>
        </w:tc>
      </w:tr>
      <w:tr w:rsidR="00A52AFE">
        <w:trPr>
          <w:trHeight w:val="340"/>
          <w:jc w:val="center"/>
        </w:trPr>
        <w:tc>
          <w:tcPr>
            <w:tcW w:w="37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52AFE" w:rsidRDefault="00A52AFE">
            <w:pPr>
              <w:pStyle w:val="50"/>
              <w:widowControl w:val="0"/>
              <w:adjustRightInd w:val="0"/>
              <w:snapToGrid w:val="0"/>
              <w:spacing w:line="360" w:lineRule="auto"/>
              <w:rPr>
                <w:rFonts w:ascii="宋体"/>
              </w:rPr>
            </w:pPr>
          </w:p>
        </w:tc>
        <w:tc>
          <w:tcPr>
            <w:tcW w:w="972" w:type="pct"/>
            <w:vAlign w:val="center"/>
          </w:tcPr>
          <w:p w:rsidR="00A52AFE" w:rsidRDefault="00A52AFE">
            <w:pPr>
              <w:pStyle w:val="50"/>
              <w:widowControl w:val="0"/>
              <w:adjustRightInd w:val="0"/>
              <w:snapToGrid w:val="0"/>
              <w:spacing w:line="360" w:lineRule="auto"/>
              <w:rPr>
                <w:rFonts w:ascii="宋体"/>
              </w:rPr>
            </w:pPr>
          </w:p>
        </w:tc>
      </w:tr>
      <w:tr w:rsidR="00A52AFE">
        <w:trPr>
          <w:trHeight w:val="340"/>
          <w:jc w:val="center"/>
        </w:trPr>
        <w:tc>
          <w:tcPr>
            <w:tcW w:w="37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52AFE" w:rsidRDefault="00A52AFE">
            <w:pPr>
              <w:pStyle w:val="50"/>
              <w:widowControl w:val="0"/>
              <w:adjustRightInd w:val="0"/>
              <w:snapToGrid w:val="0"/>
              <w:spacing w:line="360" w:lineRule="auto"/>
              <w:rPr>
                <w:rFonts w:ascii="宋体"/>
              </w:rPr>
            </w:pPr>
          </w:p>
        </w:tc>
        <w:tc>
          <w:tcPr>
            <w:tcW w:w="972" w:type="pct"/>
            <w:vAlign w:val="center"/>
          </w:tcPr>
          <w:p w:rsidR="00A52AFE" w:rsidRDefault="00A52AFE">
            <w:pPr>
              <w:pStyle w:val="50"/>
              <w:widowControl w:val="0"/>
              <w:adjustRightInd w:val="0"/>
              <w:snapToGrid w:val="0"/>
              <w:spacing w:line="360" w:lineRule="auto"/>
              <w:rPr>
                <w:rFonts w:ascii="宋体"/>
              </w:rPr>
            </w:pPr>
          </w:p>
        </w:tc>
      </w:tr>
      <w:tr w:rsidR="00A52AFE">
        <w:trPr>
          <w:trHeight w:val="340"/>
          <w:jc w:val="center"/>
        </w:trPr>
        <w:tc>
          <w:tcPr>
            <w:tcW w:w="37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r>
      <w:tr w:rsidR="00A52AFE">
        <w:trPr>
          <w:trHeight w:val="340"/>
          <w:jc w:val="center"/>
        </w:trPr>
        <w:tc>
          <w:tcPr>
            <w:tcW w:w="37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A52AFE" w:rsidRDefault="008D5D6E">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A52AFE" w:rsidRDefault="008D5D6E">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52AFE" w:rsidRDefault="00A52AFE">
            <w:pPr>
              <w:pStyle w:val="50"/>
              <w:widowControl w:val="0"/>
              <w:adjustRightInd w:val="0"/>
              <w:snapToGrid w:val="0"/>
              <w:spacing w:line="360" w:lineRule="auto"/>
              <w:rPr>
                <w:rFonts w:ascii="宋体"/>
              </w:rPr>
            </w:pPr>
          </w:p>
        </w:tc>
        <w:tc>
          <w:tcPr>
            <w:tcW w:w="972" w:type="pct"/>
            <w:vAlign w:val="center"/>
          </w:tcPr>
          <w:p w:rsidR="00A52AFE" w:rsidRDefault="00A52AFE">
            <w:pPr>
              <w:pStyle w:val="50"/>
              <w:widowControl w:val="0"/>
              <w:adjustRightInd w:val="0"/>
              <w:snapToGrid w:val="0"/>
              <w:spacing w:line="360" w:lineRule="auto"/>
              <w:rPr>
                <w:rFonts w:ascii="宋体"/>
              </w:rPr>
            </w:pPr>
          </w:p>
        </w:tc>
      </w:tr>
    </w:tbl>
    <w:p w:rsidR="00A52AFE" w:rsidRDefault="008D5D6E">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p>
    <w:p w:rsidR="00A52AFE" w:rsidRDefault="008D5D6E">
      <w:pPr>
        <w:rPr>
          <w:rFonts w:eastAsia="黑体"/>
          <w:sz w:val="32"/>
          <w:szCs w:val="21"/>
        </w:rPr>
      </w:pPr>
      <w:bookmarkStart w:id="40" w:name="_Toc102634414"/>
      <w:bookmarkStart w:id="41" w:name="_Toc102633914"/>
      <w:bookmarkStart w:id="42" w:name="_Toc9894"/>
      <w:bookmarkStart w:id="43" w:name="_Toc15033761"/>
      <w:bookmarkStart w:id="44" w:name="_Toc102634276"/>
      <w:bookmarkStart w:id="45" w:name="_Toc102633988"/>
      <w:r>
        <w:rPr>
          <w:rFonts w:eastAsia="黑体"/>
          <w:sz w:val="32"/>
          <w:szCs w:val="21"/>
        </w:rPr>
        <w:br w:type="page"/>
      </w:r>
    </w:p>
    <w:bookmarkEnd w:id="40"/>
    <w:bookmarkEnd w:id="41"/>
    <w:bookmarkEnd w:id="42"/>
    <w:bookmarkEnd w:id="43"/>
    <w:bookmarkEnd w:id="44"/>
    <w:bookmarkEnd w:id="45"/>
    <w:p w:rsidR="00A52AFE" w:rsidRDefault="008D5D6E">
      <w:pPr>
        <w:pStyle w:val="1"/>
        <w:widowControl w:val="0"/>
        <w:adjustRightInd w:val="0"/>
        <w:snapToGrid w:val="0"/>
        <w:spacing w:beforeLines="150" w:before="468" w:afterLines="50" w:after="156" w:line="360" w:lineRule="auto"/>
      </w:pPr>
      <w:r>
        <w:lastRenderedPageBreak/>
        <w:t>第六章</w:t>
      </w:r>
      <w:r>
        <w:t xml:space="preserve">  </w:t>
      </w:r>
      <w:r>
        <w:t>安全对策措施及建议</w:t>
      </w:r>
    </w:p>
    <w:p w:rsidR="00A52AFE" w:rsidRDefault="008D5D6E">
      <w:pPr>
        <w:adjustRightInd w:val="0"/>
        <w:snapToGrid w:val="0"/>
        <w:spacing w:line="360" w:lineRule="auto"/>
        <w:jc w:val="center"/>
        <w:outlineLvl w:val="1"/>
        <w:rPr>
          <w:rFonts w:ascii="Calibri" w:eastAsia="楷体_GB2312" w:hAnsi="Calibri"/>
          <w:b/>
          <w:kern w:val="0"/>
          <w:sz w:val="32"/>
          <w:szCs w:val="20"/>
        </w:rPr>
      </w:pPr>
      <w:bookmarkStart w:id="46" w:name="_Toc225046264"/>
      <w:bookmarkStart w:id="47" w:name="_Toc339456079"/>
      <w:bookmarkStart w:id="48" w:name="_Toc102633915"/>
      <w:bookmarkStart w:id="49" w:name="_Toc102633989"/>
      <w:bookmarkStart w:id="50" w:name="_Toc15033762"/>
      <w:bookmarkStart w:id="51" w:name="_Toc348877039"/>
      <w:bookmarkStart w:id="52" w:name="_Toc4961"/>
      <w:bookmarkStart w:id="53" w:name="_Toc102634277"/>
      <w:bookmarkStart w:id="54" w:name="_Toc242065302"/>
      <w:bookmarkStart w:id="55" w:name="_Toc102634415"/>
      <w:r>
        <w:rPr>
          <w:rFonts w:ascii="Calibri" w:eastAsia="楷体_GB2312" w:hAnsi="Calibri"/>
          <w:b/>
          <w:kern w:val="0"/>
          <w:sz w:val="32"/>
          <w:szCs w:val="20"/>
        </w:rPr>
        <w:t>第一节</w:t>
      </w:r>
      <w:r>
        <w:rPr>
          <w:rFonts w:ascii="Calibri" w:eastAsia="楷体_GB2312" w:hAnsi="Calibri"/>
          <w:b/>
          <w:kern w:val="0"/>
          <w:sz w:val="32"/>
          <w:szCs w:val="20"/>
        </w:rPr>
        <w:t xml:space="preserve"> </w:t>
      </w:r>
      <w:bookmarkEnd w:id="46"/>
      <w:bookmarkEnd w:id="47"/>
      <w:r>
        <w:rPr>
          <w:rFonts w:ascii="Calibri" w:eastAsia="楷体_GB2312" w:hAnsi="Calibri"/>
          <w:b/>
          <w:kern w:val="0"/>
          <w:sz w:val="32"/>
          <w:szCs w:val="20"/>
        </w:rPr>
        <w:t>存在的问题及整改建议</w:t>
      </w:r>
      <w:bookmarkEnd w:id="48"/>
      <w:bookmarkEnd w:id="49"/>
      <w:bookmarkEnd w:id="50"/>
      <w:bookmarkEnd w:id="51"/>
      <w:bookmarkEnd w:id="52"/>
      <w:bookmarkEnd w:id="53"/>
      <w:bookmarkEnd w:id="54"/>
      <w:bookmarkEnd w:id="55"/>
    </w:p>
    <w:p w:rsidR="00A52AFE" w:rsidRDefault="008D5D6E">
      <w:pPr>
        <w:adjustRightInd w:val="0"/>
        <w:snapToGrid w:val="0"/>
        <w:spacing w:line="360" w:lineRule="auto"/>
        <w:ind w:firstLineChars="200" w:firstLine="560"/>
        <w:rPr>
          <w:rFonts w:ascii="宋体"/>
          <w:kern w:val="0"/>
          <w:sz w:val="28"/>
          <w:szCs w:val="20"/>
        </w:rPr>
      </w:pPr>
      <w:bookmarkStart w:id="56" w:name="_Toc15033763"/>
      <w:bookmarkStart w:id="57" w:name="_Toc49590281"/>
      <w:r>
        <w:rPr>
          <w:rFonts w:ascii="宋体"/>
          <w:kern w:val="0"/>
          <w:sz w:val="28"/>
          <w:szCs w:val="20"/>
        </w:rPr>
        <w:t>通过现场检查和审查有关资料</w:t>
      </w:r>
      <w:r>
        <w:rPr>
          <w:rFonts w:ascii="宋体" w:hint="eastAsia"/>
          <w:kern w:val="0"/>
          <w:sz w:val="28"/>
          <w:szCs w:val="20"/>
        </w:rPr>
        <w:t>可以看出，该加油站发现以下问题：</w:t>
      </w:r>
    </w:p>
    <w:bookmarkEnd w:id="56"/>
    <w:bookmarkEnd w:id="57"/>
    <w:p w:rsidR="00A52AFE" w:rsidRDefault="008D5D6E">
      <w:pPr>
        <w:widowControl/>
        <w:adjustRightInd w:val="0"/>
        <w:snapToGrid w:val="0"/>
        <w:spacing w:line="360" w:lineRule="auto"/>
        <w:ind w:firstLine="480"/>
        <w:jc w:val="center"/>
        <w:textAlignment w:val="baseline"/>
        <w:rPr>
          <w:rFonts w:eastAsia="黑体"/>
          <w:kern w:val="0"/>
          <w:sz w:val="24"/>
          <w:u w:color="000000"/>
        </w:rPr>
      </w:pPr>
      <w:r>
        <w:rPr>
          <w:rFonts w:ascii="黑体" w:eastAsia="黑体" w:hAnsi="黑体" w:cs="黑体" w:hint="eastAsia"/>
          <w:kern w:val="0"/>
          <w:sz w:val="24"/>
          <w:u w:color="000000"/>
        </w:rPr>
        <w:t>表</w:t>
      </w:r>
      <w:r>
        <w:rPr>
          <w:rFonts w:ascii="黑体" w:eastAsia="黑体" w:hAnsi="黑体" w:cs="黑体" w:hint="eastAsia"/>
          <w:kern w:val="0"/>
          <w:sz w:val="24"/>
          <w:u w:color="000000"/>
        </w:rPr>
        <w:t>6.1-1</w:t>
      </w:r>
      <w:r>
        <w:rPr>
          <w:rFonts w:eastAsia="黑体" w:hint="eastAsia"/>
          <w:kern w:val="0"/>
          <w:sz w:val="24"/>
          <w:u w:color="000000"/>
        </w:rPr>
        <w:t xml:space="preserve">  </w:t>
      </w:r>
      <w:r>
        <w:rPr>
          <w:rFonts w:eastAsia="黑体" w:hint="eastAsia"/>
          <w:kern w:val="0"/>
          <w:sz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A52AFE">
        <w:trPr>
          <w:trHeight w:val="503"/>
          <w:tblHeader/>
          <w:jc w:val="center"/>
        </w:trPr>
        <w:tc>
          <w:tcPr>
            <w:tcW w:w="817" w:type="dxa"/>
            <w:vAlign w:val="center"/>
          </w:tcPr>
          <w:p w:rsidR="00A52AFE" w:rsidRDefault="008D5D6E">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rsidR="00A52AFE" w:rsidRDefault="008D5D6E">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rsidR="00A52AFE" w:rsidRDefault="008D5D6E">
            <w:pPr>
              <w:widowControl/>
              <w:tabs>
                <w:tab w:val="left" w:pos="6120"/>
              </w:tabs>
              <w:adjustRightInd w:val="0"/>
              <w:snapToGrid w:val="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rsidR="00A52AFE">
        <w:trPr>
          <w:jc w:val="center"/>
        </w:trPr>
        <w:tc>
          <w:tcPr>
            <w:tcW w:w="817" w:type="dxa"/>
            <w:vAlign w:val="center"/>
          </w:tcPr>
          <w:p w:rsidR="00A52AFE" w:rsidRDefault="008D5D6E">
            <w:pPr>
              <w:widowControl/>
              <w:tabs>
                <w:tab w:val="left" w:pos="6120"/>
              </w:tabs>
              <w:adjustRightInd w:val="0"/>
              <w:snapToGrid w:val="0"/>
              <w:jc w:val="center"/>
              <w:textAlignment w:val="baseline"/>
              <w:rPr>
                <w:rFonts w:ascii="宋体" w:hAnsi="宋体"/>
                <w:bCs/>
                <w:kern w:val="0"/>
                <w:position w:val="2"/>
                <w:u w:color="000000"/>
              </w:rPr>
            </w:pPr>
            <w:r>
              <w:rPr>
                <w:rFonts w:ascii="宋体" w:hAnsi="宋体" w:hint="eastAsia"/>
                <w:bCs/>
                <w:kern w:val="0"/>
                <w:position w:val="2"/>
                <w:u w:color="000000"/>
              </w:rPr>
              <w:t>1</w:t>
            </w:r>
          </w:p>
        </w:tc>
        <w:tc>
          <w:tcPr>
            <w:tcW w:w="3845" w:type="dxa"/>
            <w:vAlign w:val="center"/>
          </w:tcPr>
          <w:p w:rsidR="00A52AFE" w:rsidRDefault="008D5D6E">
            <w:pPr>
              <w:widowControl/>
              <w:adjustRightInd w:val="0"/>
              <w:snapToGrid w:val="0"/>
              <w:jc w:val="center"/>
              <w:textAlignment w:val="baseline"/>
              <w:rPr>
                <w:rFonts w:ascii="宋体" w:hAnsi="宋体"/>
                <w:kern w:val="0"/>
                <w:u w:color="000000"/>
              </w:rPr>
            </w:pPr>
            <w:r>
              <w:rPr>
                <w:rFonts w:hint="eastAsia"/>
              </w:rPr>
              <w:t>加油机与站房的防火间距小于</w:t>
            </w:r>
            <w:r>
              <w:rPr>
                <w:rFonts w:hint="eastAsia"/>
              </w:rPr>
              <w:t>5m</w:t>
            </w:r>
            <w:r>
              <w:rPr>
                <w:rFonts w:hint="eastAsia"/>
              </w:rPr>
              <w:t>。</w:t>
            </w:r>
          </w:p>
        </w:tc>
        <w:tc>
          <w:tcPr>
            <w:tcW w:w="4740" w:type="dxa"/>
            <w:vAlign w:val="center"/>
          </w:tcPr>
          <w:p w:rsidR="00A52AFE" w:rsidRDefault="008D5D6E">
            <w:pPr>
              <w:widowControl/>
              <w:adjustRightInd w:val="0"/>
              <w:snapToGrid w:val="0"/>
              <w:jc w:val="center"/>
              <w:textAlignment w:val="baseline"/>
              <w:rPr>
                <w:rFonts w:ascii="宋体" w:hAnsi="宋体"/>
                <w:kern w:val="0"/>
                <w:u w:color="000000"/>
              </w:rPr>
            </w:pPr>
            <w:r>
              <w:rPr>
                <w:rFonts w:hint="eastAsia"/>
              </w:rPr>
              <w:t>应将不符合间距要求的加油机停用或移至符合要求处。</w:t>
            </w:r>
          </w:p>
        </w:tc>
      </w:tr>
    </w:tbl>
    <w:p w:rsidR="00A52AFE" w:rsidRDefault="008D5D6E">
      <w:pPr>
        <w:pStyle w:val="6"/>
        <w:spacing w:line="360" w:lineRule="auto"/>
        <w:ind w:firstLine="560"/>
        <w:rPr>
          <w:rFonts w:ascii="宋体"/>
        </w:rPr>
        <w:sectPr w:rsidR="00A52AFE">
          <w:pgSz w:w="11906" w:h="16838"/>
          <w:pgMar w:top="1417" w:right="1417" w:bottom="1417" w:left="1417" w:header="851" w:footer="992" w:gutter="0"/>
          <w:cols w:space="425"/>
          <w:docGrid w:type="lines" w:linePitch="312"/>
        </w:sectPr>
      </w:pPr>
      <w:r>
        <w:rPr>
          <w:rFonts w:ascii="宋体" w:hint="eastAsia"/>
        </w:rPr>
        <w:t>该加油站将上述问题整改合格后，在安全管理、站址选择及总平面布置、加油工艺及设施、其它设施等方面符合有关法律、标准规范的要求</w:t>
      </w:r>
      <w:r>
        <w:rPr>
          <w:rFonts w:ascii="宋体" w:hint="eastAsia"/>
        </w:rPr>
        <w:t>。</w:t>
      </w:r>
    </w:p>
    <w:p w:rsidR="00A52AFE" w:rsidRDefault="008D5D6E">
      <w:pPr>
        <w:pStyle w:val="a4"/>
        <w:spacing w:line="240" w:lineRule="auto"/>
        <w:ind w:firstLineChars="0" w:firstLine="0"/>
        <w:rPr>
          <w:color w:val="auto"/>
          <w:sz w:val="28"/>
          <w:szCs w:val="20"/>
        </w:rPr>
      </w:pPr>
      <w:r>
        <w:rPr>
          <w:rFonts w:hint="eastAsia"/>
          <w:noProof/>
          <w:color w:val="auto"/>
          <w:sz w:val="28"/>
          <w:szCs w:val="20"/>
        </w:rPr>
        <w:lastRenderedPageBreak/>
        <w:drawing>
          <wp:inline distT="0" distB="0" distL="114300" distR="114300">
            <wp:extent cx="5752465" cy="8645525"/>
            <wp:effectExtent l="0" t="0" r="635" b="3175"/>
            <wp:docPr id="16" name="图片 16" descr="扫描全能王 ⁨2025-6-20 15.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6-20 15.17⁩_4"/>
                    <pic:cNvPicPr>
                      <a:picLocks noChangeAspect="1"/>
                    </pic:cNvPicPr>
                  </pic:nvPicPr>
                  <pic:blipFill>
                    <a:blip r:embed="rId9"/>
                    <a:stretch>
                      <a:fillRect/>
                    </a:stretch>
                  </pic:blipFill>
                  <pic:spPr>
                    <a:xfrm>
                      <a:off x="0" y="0"/>
                      <a:ext cx="5752465" cy="8645525"/>
                    </a:xfrm>
                    <a:prstGeom prst="rect">
                      <a:avLst/>
                    </a:prstGeom>
                  </pic:spPr>
                </pic:pic>
              </a:graphicData>
            </a:graphic>
          </wp:inline>
        </w:drawing>
      </w:r>
      <w:r>
        <w:rPr>
          <w:rFonts w:hint="eastAsia"/>
          <w:noProof/>
          <w:color w:val="auto"/>
          <w:sz w:val="28"/>
          <w:szCs w:val="20"/>
        </w:rPr>
        <w:lastRenderedPageBreak/>
        <w:drawing>
          <wp:inline distT="0" distB="0" distL="114300" distR="114300">
            <wp:extent cx="5756275" cy="8640445"/>
            <wp:effectExtent l="0" t="0" r="15875" b="8255"/>
            <wp:docPr id="15" name="图片 15" descr="扫描全能王 ⁨2025-6-20 15.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6-20 15.17⁩_5"/>
                    <pic:cNvPicPr>
                      <a:picLocks noChangeAspect="1"/>
                    </pic:cNvPicPr>
                  </pic:nvPicPr>
                  <pic:blipFill>
                    <a:blip r:embed="rId10"/>
                    <a:stretch>
                      <a:fillRect/>
                    </a:stretch>
                  </pic:blipFill>
                  <pic:spPr>
                    <a:xfrm>
                      <a:off x="0" y="0"/>
                      <a:ext cx="5756275" cy="8640445"/>
                    </a:xfrm>
                    <a:prstGeom prst="rect">
                      <a:avLst/>
                    </a:prstGeom>
                  </pic:spPr>
                </pic:pic>
              </a:graphicData>
            </a:graphic>
          </wp:inline>
        </w:drawing>
      </w:r>
      <w:r>
        <w:rPr>
          <w:rFonts w:hint="eastAsia"/>
          <w:noProof/>
          <w:color w:val="auto"/>
          <w:sz w:val="28"/>
          <w:szCs w:val="20"/>
        </w:rPr>
        <w:lastRenderedPageBreak/>
        <w:drawing>
          <wp:inline distT="0" distB="0" distL="114300" distR="114300">
            <wp:extent cx="8389620" cy="4982845"/>
            <wp:effectExtent l="0" t="0" r="8255" b="11430"/>
            <wp:docPr id="14" name="图片 14" descr="扫描全能王 ⁨2025-6-20 15.1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6-20 15.17⁩_6"/>
                    <pic:cNvPicPr>
                      <a:picLocks noChangeAspect="1"/>
                    </pic:cNvPicPr>
                  </pic:nvPicPr>
                  <pic:blipFill>
                    <a:blip r:embed="rId11"/>
                    <a:stretch>
                      <a:fillRect/>
                    </a:stretch>
                  </pic:blipFill>
                  <pic:spPr>
                    <a:xfrm rot="16200000">
                      <a:off x="0" y="0"/>
                      <a:ext cx="8389620" cy="4982845"/>
                    </a:xfrm>
                    <a:prstGeom prst="rect">
                      <a:avLst/>
                    </a:prstGeom>
                  </pic:spPr>
                </pic:pic>
              </a:graphicData>
            </a:graphic>
          </wp:inline>
        </w:drawing>
      </w:r>
    </w:p>
    <w:sectPr w:rsidR="00A52AFE">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8D5D6E"/>
    <w:rsid w:val="00A52AFE"/>
    <w:rsid w:val="00AD5E97"/>
    <w:rsid w:val="00B64575"/>
    <w:rsid w:val="02E561BC"/>
    <w:rsid w:val="03B21DD7"/>
    <w:rsid w:val="03CC63D7"/>
    <w:rsid w:val="09D5345C"/>
    <w:rsid w:val="0A27015B"/>
    <w:rsid w:val="0BD51C61"/>
    <w:rsid w:val="0D0B1052"/>
    <w:rsid w:val="0EC853E9"/>
    <w:rsid w:val="0EDC1223"/>
    <w:rsid w:val="0F3B0C0D"/>
    <w:rsid w:val="13C277AD"/>
    <w:rsid w:val="13D12EE6"/>
    <w:rsid w:val="153C4810"/>
    <w:rsid w:val="16BC1C2B"/>
    <w:rsid w:val="1E1E483E"/>
    <w:rsid w:val="22CB7136"/>
    <w:rsid w:val="284F788D"/>
    <w:rsid w:val="28E348A1"/>
    <w:rsid w:val="2A9D36CA"/>
    <w:rsid w:val="2E374561"/>
    <w:rsid w:val="2EB02BD7"/>
    <w:rsid w:val="2EC41433"/>
    <w:rsid w:val="32DB1C5F"/>
    <w:rsid w:val="335F1F61"/>
    <w:rsid w:val="355F439E"/>
    <w:rsid w:val="35CC29B8"/>
    <w:rsid w:val="3B343FFC"/>
    <w:rsid w:val="3BB85D78"/>
    <w:rsid w:val="420C1409"/>
    <w:rsid w:val="46BE3C6F"/>
    <w:rsid w:val="4706325F"/>
    <w:rsid w:val="48FE4AE5"/>
    <w:rsid w:val="4B7D0EF4"/>
    <w:rsid w:val="510C73E4"/>
    <w:rsid w:val="537F016A"/>
    <w:rsid w:val="54F4335B"/>
    <w:rsid w:val="563D798B"/>
    <w:rsid w:val="567C6788"/>
    <w:rsid w:val="579A241E"/>
    <w:rsid w:val="58081FD7"/>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3E0E5"/>
  <w15:docId w15:val="{9162C68B-3745-40FD-AB19-3ECD40B2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rPr>
      <w:b/>
      <w:u w:val="single"/>
    </w:rPr>
  </w:style>
  <w:style w:type="paragraph" w:styleId="a4">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5">
    <w:name w:val="Normal Indent"/>
    <w:basedOn w:val="a"/>
    <w:uiPriority w:val="99"/>
    <w:qFormat/>
    <w:pPr>
      <w:ind w:firstLine="420"/>
    </w:pPr>
  </w:style>
  <w:style w:type="paragraph" w:styleId="a6">
    <w:name w:val="annotation text"/>
    <w:basedOn w:val="a"/>
    <w:qFormat/>
    <w:pPr>
      <w:jc w:val="left"/>
    </w:pPr>
  </w:style>
  <w:style w:type="paragraph" w:styleId="a7">
    <w:name w:val="Body Text Indent"/>
    <w:basedOn w:val="a"/>
    <w:qFormat/>
    <w:pPr>
      <w:spacing w:after="120"/>
      <w:ind w:leftChars="200" w:left="420"/>
    </w:pPr>
  </w:style>
  <w:style w:type="paragraph" w:styleId="a8">
    <w:name w:val="Plain Text"/>
    <w:basedOn w:val="a"/>
    <w:uiPriority w:val="99"/>
    <w:unhideWhenUsed/>
    <w:qFormat/>
    <w:rPr>
      <w:rFonts w:ascii="宋体" w:hAnsi="Courier New"/>
      <w:kern w:val="0"/>
      <w:sz w:val="20"/>
      <w:szCs w:val="20"/>
    </w:rPr>
  </w:style>
  <w:style w:type="paragraph" w:styleId="2">
    <w:name w:val="Body Text First Indent 2"/>
    <w:basedOn w:val="a7"/>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8"/>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587</Words>
  <Characters>3350</Characters>
  <Application>Microsoft Office Word</Application>
  <DocSecurity>0</DocSecurity>
  <Lines>27</Lines>
  <Paragraphs>7</Paragraphs>
  <ScaleCrop>false</ScaleCrop>
  <Company>微软中国</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8</cp:revision>
  <dcterms:created xsi:type="dcterms:W3CDTF">2023-09-27T02:48:00Z</dcterms:created>
  <dcterms:modified xsi:type="dcterms:W3CDTF">2025-06-23T08:08:00Z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