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陕西泓润亿泰商贸有限公司荣耀加油站安全现状评价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2025.06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2025年4月21日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2025年5月10日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1EFF4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陕西泓润亿泰</w:t>
            </w:r>
            <w:r>
              <w:rPr>
                <w:rFonts w:hint="eastAsia"/>
                <w:sz w:val="24"/>
                <w:szCs w:val="24"/>
              </w:rPr>
              <w:t>商贸有限公司荣耀加油站位于西安市周至县司竹镇东关（丝竹中学斜对面），主要经营汽油、柴油零售。</w:t>
            </w:r>
          </w:p>
          <w:p w14:paraId="014528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zh-CN"/>
              </w:rPr>
              <w:t>该</w:t>
            </w:r>
            <w:r>
              <w:rPr>
                <w:rFonts w:hint="eastAsia"/>
                <w:sz w:val="24"/>
                <w:szCs w:val="24"/>
              </w:rPr>
              <w:t>加油站</w:t>
            </w:r>
            <w:r>
              <w:rPr>
                <w:rFonts w:hint="eastAsia"/>
                <w:sz w:val="24"/>
                <w:szCs w:val="24"/>
                <w:lang w:val="zh-CN"/>
              </w:rPr>
              <w:t>设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  <w:lang w:val="zh-CN"/>
              </w:rPr>
              <w:t>台</w:t>
            </w:r>
            <w:r>
              <w:rPr>
                <w:rFonts w:hint="eastAsia"/>
                <w:sz w:val="24"/>
                <w:szCs w:val="24"/>
              </w:rPr>
              <w:t>单油品加油机</w:t>
            </w:r>
            <w:r>
              <w:rPr>
                <w:rFonts w:hint="eastAsia"/>
                <w:sz w:val="24"/>
                <w:szCs w:val="24"/>
                <w:lang w:eastAsia="zh-CN"/>
              </w:rPr>
              <w:t>（3台单枪、1台双枪）</w:t>
            </w:r>
            <w:r>
              <w:rPr>
                <w:rFonts w:hint="eastAsia"/>
                <w:sz w:val="24"/>
                <w:szCs w:val="24"/>
                <w:lang w:val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设5具SF双层卧式埋地钢制油罐，其中3具30m³汽油罐，1具30m³柴油罐，1具50m³柴油罐，总存储容积为130m³（柴油容积折半计入油罐总容积）</w:t>
            </w:r>
            <w:r>
              <w:rPr>
                <w:rFonts w:hint="eastAsia"/>
                <w:sz w:val="24"/>
                <w:szCs w:val="24"/>
                <w:lang w:val="zh-CN"/>
              </w:rPr>
              <w:t>，</w:t>
            </w:r>
            <w:r>
              <w:rPr>
                <w:rFonts w:hint="eastAsia"/>
                <w:sz w:val="24"/>
                <w:szCs w:val="24"/>
              </w:rPr>
              <w:t>设置1</w:t>
            </w:r>
            <w:r>
              <w:rPr>
                <w:rFonts w:hint="eastAsia"/>
                <w:sz w:val="24"/>
                <w:szCs w:val="24"/>
                <w:lang w:val="zh-CN"/>
              </w:rPr>
              <w:t>台三次油气回收设备</w:t>
            </w:r>
            <w:r>
              <w:rPr>
                <w:rFonts w:hint="eastAsia"/>
                <w:sz w:val="24"/>
                <w:szCs w:val="24"/>
              </w:rPr>
              <w:t>。依据《汽车加油加气加氢站技术标准》（GB50156-2021）3.0.9的规定，该加油站等级为二级加油站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1412BA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bookmarkStart w:id="0" w:name="_GoBack"/>
      <w:bookmarkEnd w:id="0"/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387985</wp:posOffset>
            </wp:positionV>
            <wp:extent cx="5268595" cy="3950335"/>
            <wp:effectExtent l="0" t="0" r="8255" b="12065"/>
            <wp:wrapNone/>
            <wp:docPr id="5" name="图片 5" descr="e9999645f4913047b4064b0a12a5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999645f4913047b4064b0a12a5e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</w:pPr>
    </w:p>
    <w:p w14:paraId="25F7FE69">
      <w:pPr>
        <w:rPr>
          <w:rFonts w:hint="default"/>
          <w:lang w:val="en-US" w:eastAsia="zh-CN"/>
        </w:rPr>
      </w:pPr>
    </w:p>
    <w:p w14:paraId="38EC9EBA">
      <w:pPr>
        <w:rPr>
          <w:rFonts w:hint="default"/>
          <w:lang w:val="en-US" w:eastAsia="zh-CN"/>
        </w:rPr>
      </w:pPr>
    </w:p>
    <w:p w14:paraId="13E07B78">
      <w:pPr>
        <w:rPr>
          <w:rFonts w:hint="default"/>
          <w:lang w:val="en-US" w:eastAsia="zh-CN"/>
        </w:rPr>
      </w:pPr>
    </w:p>
    <w:p w14:paraId="2C663455">
      <w:pPr>
        <w:rPr>
          <w:rFonts w:hint="default"/>
          <w:lang w:val="en-US" w:eastAsia="zh-CN"/>
        </w:rPr>
      </w:pPr>
    </w:p>
    <w:p w14:paraId="60EC9782">
      <w:pPr>
        <w:rPr>
          <w:rFonts w:hint="default"/>
          <w:lang w:val="en-US" w:eastAsia="zh-CN"/>
        </w:rPr>
      </w:pPr>
    </w:p>
    <w:p w14:paraId="7048B9CB">
      <w:pPr>
        <w:rPr>
          <w:rFonts w:hint="default"/>
          <w:lang w:val="en-US" w:eastAsia="zh-CN"/>
        </w:rPr>
      </w:pPr>
    </w:p>
    <w:p w14:paraId="467925CA">
      <w:pPr>
        <w:rPr>
          <w:rFonts w:hint="default"/>
          <w:lang w:val="en-US" w:eastAsia="zh-CN"/>
        </w:rPr>
      </w:pPr>
    </w:p>
    <w:p w14:paraId="58C993BF">
      <w:pPr>
        <w:rPr>
          <w:rFonts w:hint="default"/>
          <w:lang w:val="en-US" w:eastAsia="zh-CN"/>
        </w:rPr>
      </w:pPr>
    </w:p>
    <w:p w14:paraId="4C060B89">
      <w:pPr>
        <w:rPr>
          <w:rFonts w:hint="default"/>
          <w:lang w:val="en-US" w:eastAsia="zh-CN"/>
        </w:rPr>
      </w:pPr>
    </w:p>
    <w:p w14:paraId="6A5721E4">
      <w:pPr>
        <w:rPr>
          <w:rFonts w:hint="default"/>
          <w:lang w:val="en-US" w:eastAsia="zh-CN"/>
        </w:rPr>
      </w:pPr>
    </w:p>
    <w:p w14:paraId="2884FB41">
      <w:pPr>
        <w:rPr>
          <w:rFonts w:hint="default"/>
          <w:lang w:val="en-US" w:eastAsia="zh-CN"/>
        </w:rPr>
      </w:pPr>
    </w:p>
    <w:p w14:paraId="200F1D67">
      <w:pPr>
        <w:rPr>
          <w:rFonts w:hint="default"/>
          <w:lang w:val="en-US" w:eastAsia="zh-CN"/>
        </w:rPr>
      </w:pPr>
    </w:p>
    <w:p w14:paraId="172480AC">
      <w:pPr>
        <w:rPr>
          <w:rFonts w:hint="default"/>
          <w:lang w:val="en-US" w:eastAsia="zh-CN"/>
        </w:rPr>
      </w:pPr>
    </w:p>
    <w:p w14:paraId="5CE17A5B">
      <w:pPr>
        <w:rPr>
          <w:rFonts w:hint="default"/>
          <w:lang w:val="en-US" w:eastAsia="zh-CN"/>
        </w:rPr>
      </w:pPr>
    </w:p>
    <w:p w14:paraId="298B48F3">
      <w:pPr>
        <w:rPr>
          <w:rFonts w:hint="default"/>
          <w:lang w:val="en-US" w:eastAsia="zh-CN"/>
        </w:rPr>
      </w:pPr>
    </w:p>
    <w:p w14:paraId="3B5093D8">
      <w:pPr>
        <w:rPr>
          <w:rFonts w:hint="default"/>
          <w:lang w:val="en-US" w:eastAsia="zh-CN"/>
        </w:rPr>
      </w:pPr>
    </w:p>
    <w:p w14:paraId="0AB2DE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120650</wp:posOffset>
            </wp:positionV>
            <wp:extent cx="5316220" cy="3986530"/>
            <wp:effectExtent l="0" t="0" r="17780" b="13970"/>
            <wp:wrapNone/>
            <wp:docPr id="1" name="图片 1" descr="检查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检查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D9DA5">
      <w:pPr>
        <w:rPr>
          <w:rFonts w:hint="default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</w:t>
      </w:r>
    </w:p>
    <w:p w14:paraId="4EF0D39B">
      <w:pPr>
        <w:pStyle w:val="6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52705</wp:posOffset>
            </wp:positionV>
            <wp:extent cx="5703570" cy="8114665"/>
            <wp:effectExtent l="0" t="0" r="11430" b="63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25400</wp:posOffset>
            </wp:positionV>
            <wp:extent cx="5757545" cy="8228965"/>
            <wp:effectExtent l="0" t="0" r="14605" b="63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9D04097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A7830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5E816C2"/>
    <w:rsid w:val="65F9465D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4</Pages>
  <Words>425</Words>
  <Characters>575</Characters>
  <Lines>74</Lines>
  <Paragraphs>21</Paragraphs>
  <TotalTime>13</TotalTime>
  <ScaleCrop>false</ScaleCrop>
  <LinksUpToDate>false</LinksUpToDate>
  <CharactersWithSpaces>582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2025-06-24T08:22:47Z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